
<file path=[Content_Types].xml><?xml version="1.0" encoding="utf-8"?>
<Types xmlns="http://schemas.openxmlformats.org/package/2006/content-types">
  <Default Extension="xlsx" ContentType="application/vnd.openxmlformats-officedocument.spreadsheetml.sheet"/>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Extensions/webExtension1.xml" ContentType="application/vnd.wps-officedocument.webExtension+xml"/>
  <Override PartName="/word/webExtensions/webExtension2.xml" ContentType="application/vnd.wps-officedocument.webExtension+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r>
        <w:rPr>
          <w:rFonts w:hint="default" w:ascii="Times New Roman" w:hAnsi="Times New Roman" w:cs="Times New Roman"/>
          <w:b/>
          <w:bCs/>
          <w:color w:val="auto"/>
          <w:sz w:val="36"/>
          <w:szCs w:val="36"/>
        </w:rPr>
        <w:t> </w:t>
      </w: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r>
        <w:rPr>
          <w:rFonts w:hint="default" w:ascii="Times New Roman" w:hAnsi="Times New Roman" w:cs="Times New Roman"/>
          <w:b/>
          <w:bCs/>
          <w:color w:val="auto"/>
          <w:sz w:val="36"/>
          <w:szCs w:val="36"/>
          <w:lang w:val="en-US"/>
        </w:rPr>
        <w:t> </w:t>
      </w: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r>
        <w:rPr>
          <w:rFonts w:hint="default" w:ascii="Times New Roman" w:hAnsi="Times New Roman" w:cs="Times New Roman"/>
          <w:b/>
          <w:bCs/>
          <w:color w:val="auto"/>
          <w:sz w:val="36"/>
          <w:szCs w:val="36"/>
          <w:lang w:val="en-US"/>
        </w:rPr>
        <w:t> </w:t>
      </w: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r>
        <w:rPr>
          <w:rFonts w:hint="default" w:ascii="Times New Roman" w:hAnsi="Times New Roman" w:cs="Times New Roman"/>
          <w:b/>
          <w:bCs/>
          <w:color w:val="auto"/>
          <w:sz w:val="36"/>
          <w:szCs w:val="36"/>
          <w:lang w:val="en-US"/>
        </w:rPr>
        <w:t> </w:t>
      </w: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r>
        <w:rPr>
          <w:rFonts w:hint="default" w:ascii="Times New Roman" w:hAnsi="Times New Roman" w:cs="Times New Roman"/>
          <w:color w:val="auto"/>
          <w:sz w:val="24"/>
          <w:szCs w:val="24"/>
          <w:lang w:val="en-US"/>
        </w:rPr>
        <w:t> </w:t>
      </w: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r>
        <w:rPr>
          <w:rFonts w:hint="default" w:ascii="Times New Roman" w:hAnsi="Times New Roman" w:cs="Times New Roman"/>
          <w:b/>
          <w:bCs/>
          <w:color w:val="auto"/>
          <w:sz w:val="36"/>
          <w:szCs w:val="36"/>
          <w:lang w:val="en-US"/>
        </w:rPr>
        <w:t> </w:t>
      </w:r>
    </w:p>
    <w:p>
      <w:pPr>
        <w:keepNext w:val="0"/>
        <w:keepLines w:val="0"/>
        <w:widowControl/>
        <w:suppressLineNumbers w:val="0"/>
        <w:autoSpaceDE w:val="0"/>
        <w:autoSpaceDN w:val="0"/>
        <w:spacing w:before="100" w:beforeAutospacing="0" w:after="100" w:afterAutospacing="0"/>
        <w:ind w:left="0" w:right="0" w:firstLine="601"/>
        <w:jc w:val="center"/>
        <w:rPr>
          <w:color w:val="auto"/>
        </w:rPr>
      </w:pPr>
      <w:r>
        <w:rPr>
          <w:rFonts w:ascii="仿宋_GB2312" w:eastAsia="仿宋_GB2312" w:cs="仿宋_GB2312"/>
          <w:b/>
          <w:bCs/>
          <w:color w:val="auto"/>
          <w:sz w:val="44"/>
          <w:szCs w:val="44"/>
          <w:lang w:val="en-US"/>
        </w:rPr>
        <w:t>内蒙古自治区包头市民政局（本级）</w:t>
      </w:r>
    </w:p>
    <w:p>
      <w:pPr>
        <w:keepNext w:val="0"/>
        <w:keepLines w:val="0"/>
        <w:widowControl/>
        <w:suppressLineNumbers w:val="0"/>
        <w:autoSpaceDE w:val="0"/>
        <w:autoSpaceDN w:val="0"/>
        <w:spacing w:before="100" w:beforeAutospacing="0" w:after="100" w:afterAutospacing="0"/>
        <w:ind w:left="0" w:right="0" w:firstLine="601"/>
        <w:jc w:val="center"/>
        <w:rPr>
          <w:color w:val="auto"/>
        </w:rPr>
      </w:pPr>
      <w:r>
        <w:rPr>
          <w:rFonts w:hint="eastAsia" w:ascii="仿宋_GB2312" w:eastAsia="仿宋_GB2312" w:cs="仿宋_GB2312"/>
          <w:b/>
          <w:bCs/>
          <w:color w:val="auto"/>
          <w:sz w:val="44"/>
          <w:szCs w:val="44"/>
          <w:lang w:val="en-US"/>
        </w:rPr>
        <w:t>2021</w:t>
      </w:r>
      <w:r>
        <w:rPr>
          <w:rFonts w:hint="eastAsia" w:ascii="仿宋_GB2312" w:eastAsia="仿宋_GB2312" w:cs="仿宋_GB2312"/>
          <w:b/>
          <w:bCs/>
          <w:color w:val="auto"/>
          <w:sz w:val="44"/>
          <w:szCs w:val="44"/>
        </w:rPr>
        <w:t>年度决算公开报告</w:t>
      </w: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r>
        <w:rPr>
          <w:rFonts w:hint="default" w:ascii="Times New Roman" w:hAnsi="Times New Roman" w:cs="Times New Roman"/>
          <w:b/>
          <w:bCs/>
          <w:color w:val="auto"/>
          <w:sz w:val="36"/>
          <w:szCs w:val="36"/>
          <w:lang w:val="en-US"/>
        </w:rPr>
        <w:t> </w:t>
      </w: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r>
        <w:rPr>
          <w:rFonts w:hint="default" w:ascii="Times New Roman" w:hAnsi="Times New Roman" w:cs="Times New Roman"/>
          <w:b/>
          <w:bCs/>
          <w:color w:val="auto"/>
          <w:sz w:val="36"/>
          <w:szCs w:val="36"/>
          <w:lang w:val="en-US"/>
        </w:rPr>
        <w:t> </w:t>
      </w: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r>
        <w:rPr>
          <w:rFonts w:hint="default" w:ascii="Times New Roman" w:hAnsi="Times New Roman" w:cs="Times New Roman"/>
          <w:b/>
          <w:bCs/>
          <w:color w:val="auto"/>
          <w:sz w:val="36"/>
          <w:szCs w:val="36"/>
          <w:lang w:val="en-US"/>
        </w:rPr>
        <w:t> </w:t>
      </w: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r>
        <w:rPr>
          <w:rFonts w:hint="default" w:ascii="Times New Roman" w:hAnsi="Times New Roman" w:cs="Times New Roman"/>
          <w:b/>
          <w:bCs/>
          <w:color w:val="auto"/>
          <w:sz w:val="36"/>
          <w:szCs w:val="36"/>
          <w:lang w:val="en-US"/>
        </w:rPr>
        <w:t> </w:t>
      </w: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r>
        <w:rPr>
          <w:rFonts w:hint="default" w:ascii="Times New Roman" w:hAnsi="Times New Roman" w:cs="Times New Roman"/>
          <w:b/>
          <w:bCs/>
          <w:color w:val="auto"/>
          <w:sz w:val="36"/>
          <w:szCs w:val="36"/>
          <w:lang w:val="en-US"/>
        </w:rPr>
        <w:t> </w:t>
      </w: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r>
        <w:rPr>
          <w:rFonts w:hint="default" w:ascii="Times New Roman" w:hAnsi="Times New Roman" w:cs="Times New Roman"/>
          <w:b/>
          <w:bCs/>
          <w:color w:val="auto"/>
          <w:sz w:val="36"/>
          <w:szCs w:val="36"/>
          <w:lang w:val="en-US"/>
        </w:rPr>
        <w:t> </w:t>
      </w: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r>
        <w:rPr>
          <w:rFonts w:hint="default" w:ascii="Times New Roman" w:hAnsi="Times New Roman" w:cs="Times New Roman"/>
          <w:b/>
          <w:bCs/>
          <w:color w:val="auto"/>
          <w:sz w:val="36"/>
          <w:szCs w:val="36"/>
          <w:lang w:val="en-US"/>
        </w:rPr>
        <w:t> </w:t>
      </w: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r>
        <w:rPr>
          <w:rFonts w:ascii="仿宋_GB2312" w:hAnsi="仿宋_GB2312" w:eastAsia="仿宋_GB2312" w:cs="仿宋_GB2312"/>
          <w:color w:val="auto"/>
          <w:sz w:val="30"/>
          <w:szCs w:val="30"/>
          <w:lang w:val="en-US"/>
        </w:rPr>
        <w:t>批复时间：</w:t>
      </w:r>
      <w:r>
        <w:rPr>
          <w:rFonts w:hint="eastAsia" w:ascii="仿宋_GB2312" w:hAnsi="仿宋_GB2312" w:eastAsia="仿宋_GB2312" w:cs="仿宋_GB2312"/>
          <w:color w:val="auto"/>
          <w:sz w:val="30"/>
          <w:szCs w:val="30"/>
          <w:lang w:val="en-US" w:eastAsia="zh-CN"/>
        </w:rPr>
        <w:t>2022</w:t>
      </w:r>
      <w:r>
        <w:rPr>
          <w:rFonts w:ascii="仿宋_GB2312" w:hAnsi="仿宋_GB2312" w:eastAsia="仿宋_GB2312" w:cs="仿宋_GB2312"/>
          <w:color w:val="auto"/>
          <w:sz w:val="30"/>
          <w:szCs w:val="30"/>
          <w:lang w:val="en-US"/>
        </w:rPr>
        <w:t>年 </w:t>
      </w:r>
      <w:r>
        <w:rPr>
          <w:rFonts w:hint="eastAsia" w:ascii="仿宋_GB2312" w:hAnsi="仿宋_GB2312" w:eastAsia="仿宋_GB2312" w:cs="仿宋_GB2312"/>
          <w:color w:val="auto"/>
          <w:sz w:val="30"/>
          <w:szCs w:val="30"/>
          <w:lang w:val="en-US" w:eastAsia="zh-CN"/>
        </w:rPr>
        <w:t>9</w:t>
      </w:r>
      <w:r>
        <w:rPr>
          <w:rFonts w:ascii="仿宋_GB2312" w:hAnsi="仿宋_GB2312" w:eastAsia="仿宋_GB2312" w:cs="仿宋_GB2312"/>
          <w:color w:val="auto"/>
          <w:sz w:val="30"/>
          <w:szCs w:val="30"/>
          <w:lang w:val="en-US"/>
        </w:rPr>
        <w:t xml:space="preserve"> 月 </w:t>
      </w:r>
      <w:r>
        <w:rPr>
          <w:rFonts w:hint="eastAsia" w:ascii="仿宋_GB2312" w:hAnsi="仿宋_GB2312" w:eastAsia="仿宋_GB2312" w:cs="仿宋_GB2312"/>
          <w:color w:val="auto"/>
          <w:sz w:val="30"/>
          <w:szCs w:val="30"/>
          <w:lang w:val="en-US" w:eastAsia="zh-CN"/>
        </w:rPr>
        <w:t>7</w:t>
      </w:r>
      <w:r>
        <w:rPr>
          <w:rFonts w:ascii="仿宋_GB2312" w:hAnsi="仿宋_GB2312" w:eastAsia="仿宋_GB2312" w:cs="仿宋_GB2312"/>
          <w:color w:val="auto"/>
          <w:sz w:val="30"/>
          <w:szCs w:val="30"/>
          <w:lang w:val="en-US"/>
        </w:rPr>
        <w:t xml:space="preserve"> 日 </w:t>
      </w: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r>
        <w:rPr>
          <w:rFonts w:hint="eastAsia" w:ascii="仿宋_GB2312" w:hAnsi="仿宋_GB2312" w:eastAsia="仿宋_GB2312" w:cs="仿宋_GB2312"/>
          <w:color w:val="auto"/>
          <w:sz w:val="30"/>
          <w:szCs w:val="30"/>
          <w:lang w:val="en-US"/>
        </w:rPr>
        <w:t>公开时间：</w:t>
      </w:r>
      <w:r>
        <w:rPr>
          <w:rFonts w:hint="eastAsia" w:ascii="仿宋_GB2312" w:hAnsi="仿宋_GB2312" w:eastAsia="仿宋_GB2312" w:cs="仿宋_GB2312"/>
          <w:color w:val="auto"/>
          <w:sz w:val="30"/>
          <w:szCs w:val="30"/>
          <w:lang w:val="en-US" w:eastAsia="zh-CN"/>
        </w:rPr>
        <w:t>2022</w:t>
      </w:r>
      <w:r>
        <w:rPr>
          <w:rFonts w:hint="eastAsia" w:ascii="仿宋_GB2312" w:hAnsi="仿宋_GB2312" w:eastAsia="仿宋_GB2312" w:cs="仿宋_GB2312"/>
          <w:color w:val="auto"/>
          <w:sz w:val="30"/>
          <w:szCs w:val="30"/>
          <w:lang w:val="en-US"/>
        </w:rPr>
        <w:t>年 </w:t>
      </w:r>
      <w:r>
        <w:rPr>
          <w:rFonts w:hint="eastAsia" w:ascii="仿宋_GB2312" w:hAnsi="仿宋_GB2312" w:eastAsia="仿宋_GB2312" w:cs="仿宋_GB2312"/>
          <w:color w:val="auto"/>
          <w:sz w:val="30"/>
          <w:szCs w:val="30"/>
          <w:lang w:val="en-US" w:eastAsia="zh-CN"/>
        </w:rPr>
        <w:t>9</w:t>
      </w:r>
      <w:r>
        <w:rPr>
          <w:rFonts w:hint="eastAsia" w:ascii="仿宋_GB2312" w:hAnsi="仿宋_GB2312" w:eastAsia="仿宋_GB2312" w:cs="仿宋_GB2312"/>
          <w:color w:val="auto"/>
          <w:sz w:val="30"/>
          <w:szCs w:val="30"/>
          <w:lang w:val="en-US"/>
        </w:rPr>
        <w:t xml:space="preserve"> 月 </w:t>
      </w:r>
      <w:r>
        <w:rPr>
          <w:rFonts w:hint="eastAsia" w:ascii="仿宋_GB2312" w:hAnsi="仿宋_GB2312" w:eastAsia="仿宋_GB2312" w:cs="仿宋_GB2312"/>
          <w:color w:val="auto"/>
          <w:sz w:val="30"/>
          <w:szCs w:val="30"/>
          <w:lang w:val="en-US" w:eastAsia="zh-CN"/>
        </w:rPr>
        <w:t>26</w:t>
      </w:r>
      <w:r>
        <w:rPr>
          <w:rFonts w:hint="eastAsia" w:ascii="仿宋_GB2312" w:hAnsi="仿宋_GB2312" w:eastAsia="仿宋_GB2312" w:cs="仿宋_GB2312"/>
          <w:color w:val="auto"/>
          <w:sz w:val="30"/>
          <w:szCs w:val="30"/>
          <w:lang w:val="en-US"/>
        </w:rPr>
        <w:t xml:space="preserve"> 日</w:t>
      </w:r>
    </w:p>
    <w:p>
      <w:pPr>
        <w:keepNext w:val="0"/>
        <w:keepLines w:val="0"/>
        <w:widowControl/>
        <w:suppressLineNumbers w:val="0"/>
        <w:autoSpaceDE w:val="0"/>
        <w:autoSpaceDN w:val="0"/>
        <w:spacing w:before="100" w:beforeAutospacing="0" w:after="100" w:afterAutospacing="0" w:line="580" w:lineRule="atLeast"/>
        <w:ind w:left="0" w:right="0" w:firstLine="600"/>
        <w:jc w:val="center"/>
        <w:rPr>
          <w:color w:val="auto"/>
        </w:rPr>
      </w:pPr>
      <w:r>
        <w:rPr>
          <w:rFonts w:hint="default" w:ascii="Times New Roman" w:hAnsi="Times New Roman" w:cs="Times New Roman"/>
          <w:b/>
          <w:bCs/>
          <w:color w:val="auto"/>
          <w:sz w:val="36"/>
          <w:szCs w:val="36"/>
          <w:lang w:val="en-US"/>
        </w:rPr>
        <w:t> </w:t>
      </w:r>
    </w:p>
    <w:p>
      <w:pPr>
        <w:keepNext w:val="0"/>
        <w:keepLines w:val="0"/>
        <w:widowControl/>
        <w:suppressLineNumbers w:val="0"/>
        <w:autoSpaceDE w:val="0"/>
        <w:autoSpaceDN w:val="0"/>
        <w:spacing w:before="100" w:beforeAutospacing="0" w:after="100" w:afterAutospacing="0"/>
        <w:ind w:left="0" w:right="0" w:firstLine="601"/>
        <w:jc w:val="left"/>
        <w:rPr>
          <w:color w:val="auto"/>
        </w:rPr>
      </w:pPr>
      <w:r>
        <w:rPr>
          <w:rFonts w:hint="default" w:ascii="Times New Roman" w:hAnsi="Times New Roman" w:cs="Times New Roman"/>
          <w:b/>
          <w:bCs/>
          <w:color w:val="auto"/>
          <w:sz w:val="44"/>
          <w:szCs w:val="44"/>
          <w:lang w:val="en-US"/>
        </w:rPr>
        <w:t> </w:t>
      </w:r>
    </w:p>
    <w:p>
      <w:pPr>
        <w:keepNext w:val="0"/>
        <w:keepLines w:val="0"/>
        <w:widowControl/>
        <w:suppressLineNumbers w:val="0"/>
        <w:autoSpaceDE w:val="0"/>
        <w:autoSpaceDN w:val="0"/>
        <w:spacing w:before="100" w:beforeAutospacing="0" w:after="100" w:afterAutospacing="0"/>
        <w:ind w:left="0" w:right="0" w:firstLine="601"/>
        <w:jc w:val="center"/>
        <w:rPr>
          <w:color w:val="auto"/>
        </w:rPr>
      </w:pPr>
      <w:r>
        <w:rPr>
          <w:rFonts w:hint="eastAsia" w:ascii="仿宋_GB2312" w:eastAsia="仿宋_GB2312" w:cs="仿宋_GB2312"/>
          <w:b/>
          <w:bCs/>
          <w:color w:val="auto"/>
          <w:sz w:val="44"/>
          <w:szCs w:val="44"/>
        </w:rPr>
        <w:t>目录</w:t>
      </w:r>
    </w:p>
    <w:p>
      <w:pPr>
        <w:keepNext w:val="0"/>
        <w:keepLines w:val="0"/>
        <w:widowControl/>
        <w:suppressLineNumbers w:val="0"/>
        <w:autoSpaceDE w:val="0"/>
        <w:autoSpaceDN w:val="0"/>
        <w:spacing w:before="100" w:beforeAutospacing="0" w:after="100" w:afterAutospacing="0"/>
        <w:ind w:left="0" w:right="0" w:firstLine="601"/>
        <w:jc w:val="left"/>
        <w:rPr>
          <w:color w:val="auto"/>
        </w:rPr>
      </w:pPr>
      <w:r>
        <w:rPr>
          <w:rFonts w:hint="default" w:ascii="Times New Roman" w:hAnsi="Times New Roman" w:cs="Times New Roman"/>
          <w:b/>
          <w:bCs/>
          <w:color w:val="auto"/>
          <w:sz w:val="44"/>
          <w:szCs w:val="44"/>
          <w:lang w:val="en-US"/>
        </w:rPr>
        <w:t> </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ascii="黑体" w:hAnsi="宋体" w:eastAsia="黑体" w:cs="黑体"/>
          <w:b/>
          <w:bCs/>
          <w:color w:val="auto"/>
          <w:sz w:val="32"/>
          <w:szCs w:val="32"/>
        </w:rPr>
        <w:t xml:space="preserve">第一部分 </w:t>
      </w:r>
      <w:r>
        <w:rPr>
          <w:rFonts w:hint="eastAsia" w:ascii="黑体" w:eastAsia="黑体" w:cs="黑体"/>
          <w:b/>
          <w:bCs/>
          <w:color w:val="auto"/>
          <w:sz w:val="32"/>
          <w:szCs w:val="32"/>
          <w:lang w:val="en-US" w:eastAsia="zh-CN"/>
        </w:rPr>
        <w:t>单位</w:t>
      </w:r>
      <w:r>
        <w:rPr>
          <w:rFonts w:ascii="黑体" w:hAnsi="宋体" w:eastAsia="黑体" w:cs="黑体"/>
          <w:b/>
          <w:bCs/>
          <w:color w:val="auto"/>
          <w:sz w:val="32"/>
          <w:szCs w:val="32"/>
        </w:rPr>
        <w:t>基本情况</w:t>
      </w:r>
    </w:p>
    <w:p>
      <w:pPr>
        <w:keepNext w:val="0"/>
        <w:keepLines w:val="0"/>
        <w:widowControl/>
        <w:suppressLineNumbers w:val="0"/>
        <w:autoSpaceDE w:val="0"/>
        <w:autoSpaceDN w:val="0"/>
        <w:spacing w:before="100" w:beforeAutospacing="0" w:after="100" w:afterAutospacing="0" w:line="580" w:lineRule="atLeast"/>
        <w:ind w:left="0" w:right="0" w:firstLine="600"/>
        <w:jc w:val="left"/>
        <w:rPr>
          <w:color w:val="auto"/>
        </w:rPr>
      </w:pPr>
      <w:r>
        <w:rPr>
          <w:rFonts w:hint="eastAsia" w:ascii="仿宋_GB2312" w:eastAsia="仿宋_GB2312" w:cs="仿宋_GB2312"/>
          <w:color w:val="auto"/>
          <w:sz w:val="32"/>
          <w:szCs w:val="32"/>
        </w:rPr>
        <w:t>一、主要职能职责</w:t>
      </w:r>
    </w:p>
    <w:p>
      <w:pPr>
        <w:keepNext w:val="0"/>
        <w:keepLines w:val="0"/>
        <w:widowControl/>
        <w:suppressLineNumbers w:val="0"/>
        <w:autoSpaceDE w:val="0"/>
        <w:autoSpaceDN w:val="0"/>
        <w:spacing w:before="100" w:beforeAutospacing="0" w:after="100" w:afterAutospacing="0" w:line="580" w:lineRule="atLeast"/>
        <w:ind w:left="0" w:right="0" w:firstLine="600"/>
        <w:jc w:val="left"/>
        <w:rPr>
          <w:color w:val="auto"/>
        </w:rPr>
      </w:pPr>
      <w:r>
        <w:rPr>
          <w:rFonts w:hint="eastAsia" w:ascii="仿宋_GB2312" w:eastAsia="仿宋_GB2312" w:cs="仿宋_GB2312"/>
          <w:color w:val="auto"/>
          <w:sz w:val="32"/>
          <w:szCs w:val="32"/>
        </w:rPr>
        <w:t>二、单位机构设置及决算单位构成情况</w:t>
      </w:r>
    </w:p>
    <w:p>
      <w:pPr>
        <w:keepNext w:val="0"/>
        <w:keepLines w:val="0"/>
        <w:widowControl/>
        <w:suppressLineNumbers w:val="0"/>
        <w:autoSpaceDE w:val="0"/>
        <w:autoSpaceDN w:val="0"/>
        <w:spacing w:before="100" w:beforeAutospacing="0" w:after="100" w:afterAutospacing="0" w:line="580" w:lineRule="atLeast"/>
        <w:ind w:left="0" w:right="0" w:firstLine="600"/>
        <w:jc w:val="left"/>
        <w:rPr>
          <w:color w:val="auto"/>
        </w:rPr>
      </w:pPr>
      <w:r>
        <w:rPr>
          <w:rFonts w:hint="eastAsia" w:ascii="仿宋_GB2312" w:eastAsia="仿宋_GB2312" w:cs="仿宋_GB2312"/>
          <w:color w:val="auto"/>
          <w:sz w:val="32"/>
          <w:szCs w:val="32"/>
        </w:rPr>
        <w:t>三、2021年度主要工作完成情况</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黑体" w:hAnsi="宋体" w:eastAsia="黑体" w:cs="黑体"/>
          <w:b/>
          <w:bCs/>
          <w:color w:val="auto"/>
          <w:sz w:val="32"/>
          <w:szCs w:val="32"/>
        </w:rPr>
        <w:t>第二部分</w:t>
      </w:r>
      <w:r>
        <w:rPr>
          <w:rFonts w:hint="eastAsia" w:ascii="黑体" w:hAnsi="宋体" w:eastAsia="黑体" w:cs="黑体"/>
          <w:b/>
          <w:bCs/>
          <w:color w:val="auto"/>
          <w:sz w:val="32"/>
          <w:szCs w:val="32"/>
          <w:lang w:val="en-US"/>
        </w:rPr>
        <w:t xml:space="preserve"> 2021</w:t>
      </w:r>
      <w:r>
        <w:rPr>
          <w:rFonts w:hint="eastAsia" w:ascii="黑体" w:hAnsi="宋体" w:eastAsia="黑体" w:cs="黑体"/>
          <w:b/>
          <w:bCs/>
          <w:color w:val="auto"/>
          <w:sz w:val="32"/>
          <w:szCs w:val="32"/>
        </w:rPr>
        <w:t>年度</w:t>
      </w:r>
      <w:r>
        <w:rPr>
          <w:rFonts w:hint="eastAsia" w:ascii="黑体" w:eastAsia="黑体" w:cs="黑体"/>
          <w:b/>
          <w:bCs/>
          <w:color w:val="auto"/>
          <w:sz w:val="32"/>
          <w:szCs w:val="32"/>
          <w:lang w:val="en-US" w:eastAsia="zh-CN"/>
        </w:rPr>
        <w:t>单位</w:t>
      </w:r>
      <w:r>
        <w:rPr>
          <w:rFonts w:hint="eastAsia" w:ascii="黑体" w:hAnsi="宋体" w:eastAsia="黑体" w:cs="黑体"/>
          <w:b/>
          <w:bCs/>
          <w:color w:val="auto"/>
          <w:sz w:val="32"/>
          <w:szCs w:val="32"/>
        </w:rPr>
        <w:t>决算情况说明</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一、关于</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年度预算执行情况分析</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二、关于</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年度决算情况说明</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（一）关于收支情况总体说明</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（二）关于</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年度收入决算情况说明</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（三）关于</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年度支出决算情况说明</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（四）关于</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年度财政拨款收入支出决算总体情况说明</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（五）关于</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年度一般公共预算财政拨款支出决算情况说明</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（六）关于</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年度一般公共预算财政拨款基本支出决算情况说明</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（七）关于</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年度财政拨款</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三公</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经费支出决算情况说明</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default" w:ascii="Times New Roman" w:hAnsi="Times New Roman" w:cs="Times New Roman"/>
          <w:color w:val="auto"/>
          <w:sz w:val="32"/>
          <w:szCs w:val="32"/>
          <w:lang w:val="en-US"/>
        </w:rPr>
        <w:t> </w:t>
      </w:r>
      <w:r>
        <w:rPr>
          <w:rFonts w:hint="eastAsia" w:ascii="宋体" w:hAnsi="宋体" w:eastAsia="宋体" w:cs="宋体"/>
          <w:color w:val="auto"/>
          <w:sz w:val="32"/>
          <w:szCs w:val="32"/>
          <w:lang w:val="en-US"/>
        </w:rPr>
        <w:t> </w:t>
      </w:r>
      <w:r>
        <w:rPr>
          <w:rFonts w:hint="eastAsia" w:ascii="仿宋_GB2312" w:eastAsia="仿宋_GB2312" w:cs="仿宋_GB2312"/>
          <w:color w:val="auto"/>
          <w:sz w:val="32"/>
          <w:szCs w:val="32"/>
          <w:lang w:val="en-US"/>
        </w:rPr>
        <w:t>1</w:t>
      </w:r>
      <w:r>
        <w:rPr>
          <w:rFonts w:hint="eastAsia" w:ascii="仿宋_GB2312" w:eastAsia="仿宋_GB2312" w:cs="仿宋_GB2312"/>
          <w:color w:val="auto"/>
          <w:sz w:val="32"/>
          <w:szCs w:val="32"/>
        </w:rPr>
        <w:t>、财政拨款</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三公</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经费支出决算总体情况说明</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default" w:ascii="Times New Roman" w:hAnsi="Times New Roman" w:cs="Times New Roman"/>
          <w:color w:val="auto"/>
          <w:sz w:val="32"/>
          <w:szCs w:val="32"/>
          <w:lang w:val="en-US"/>
        </w:rPr>
        <w:t> </w:t>
      </w:r>
      <w:r>
        <w:rPr>
          <w:rFonts w:hint="eastAsia" w:ascii="宋体" w:hAnsi="宋体" w:eastAsia="宋体" w:cs="宋体"/>
          <w:color w:val="auto"/>
          <w:sz w:val="32"/>
          <w:szCs w:val="32"/>
          <w:lang w:val="en-US"/>
        </w:rPr>
        <w:t> </w:t>
      </w:r>
      <w:r>
        <w:rPr>
          <w:rFonts w:hint="eastAsia" w:ascii="仿宋_GB2312" w:eastAsia="仿宋_GB2312" w:cs="仿宋_GB2312"/>
          <w:color w:val="auto"/>
          <w:sz w:val="32"/>
          <w:szCs w:val="32"/>
          <w:lang w:val="en-US"/>
        </w:rPr>
        <w:t>2</w:t>
      </w:r>
      <w:r>
        <w:rPr>
          <w:rFonts w:hint="eastAsia" w:ascii="仿宋_GB2312" w:eastAsia="仿宋_GB2312" w:cs="仿宋_GB2312"/>
          <w:color w:val="auto"/>
          <w:sz w:val="32"/>
          <w:szCs w:val="32"/>
        </w:rPr>
        <w:t>、财政拨款</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三公</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经费支出决算具体情况说明</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（八）关于</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年度政府性基金预算财政拨款支出决算情况说明</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（九）关于</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年度国有资本经营预算支出决算情况说明</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（十）关于</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年度项目支出决算情况说明</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（十一）政府采购支出情况</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（十二）机关运行经费支出情况</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（十三）国有资产占用情况</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三、预算绩效评价工作开展情况</w:t>
      </w:r>
    </w:p>
    <w:p>
      <w:pPr>
        <w:keepNext w:val="0"/>
        <w:keepLines w:val="0"/>
        <w:widowControl/>
        <w:suppressLineNumbers w:val="0"/>
        <w:autoSpaceDE w:val="0"/>
        <w:autoSpaceDN w:val="0"/>
        <w:spacing w:before="100" w:beforeAutospacing="1" w:after="100" w:afterAutospacing="1" w:line="580" w:lineRule="atLeast"/>
        <w:ind w:left="0" w:right="0" w:firstLine="600"/>
        <w:rPr>
          <w:color w:val="auto"/>
        </w:rPr>
      </w:pPr>
      <w:r>
        <w:rPr>
          <w:rFonts w:hint="eastAsia" w:ascii="仿宋_GB2312" w:eastAsia="仿宋_GB2312" w:cs="仿宋_GB2312"/>
          <w:color w:val="auto"/>
          <w:sz w:val="32"/>
          <w:szCs w:val="32"/>
        </w:rPr>
        <w:t>（一）预算绩效管理工作开展情况</w:t>
      </w:r>
    </w:p>
    <w:p>
      <w:pPr>
        <w:keepNext w:val="0"/>
        <w:keepLines w:val="0"/>
        <w:widowControl/>
        <w:suppressLineNumbers w:val="0"/>
        <w:autoSpaceDE w:val="0"/>
        <w:autoSpaceDN w:val="0"/>
        <w:spacing w:before="100" w:beforeAutospacing="1" w:after="100" w:afterAutospacing="1" w:line="580" w:lineRule="atLeast"/>
        <w:ind w:left="0" w:right="0" w:firstLine="600"/>
        <w:rPr>
          <w:color w:val="auto"/>
        </w:rPr>
      </w:pPr>
      <w:r>
        <w:rPr>
          <w:rFonts w:hint="eastAsia" w:ascii="仿宋_GB2312" w:eastAsia="仿宋_GB2312" w:cs="仿宋_GB2312"/>
          <w:color w:val="auto"/>
          <w:sz w:val="32"/>
          <w:szCs w:val="32"/>
        </w:rPr>
        <w:t>（二）</w:t>
      </w:r>
      <w:r>
        <w:rPr>
          <w:rFonts w:hint="eastAsia" w:ascii="仿宋_GB2312" w:eastAsia="仿宋_GB2312" w:cs="仿宋_GB2312"/>
          <w:color w:val="auto"/>
          <w:sz w:val="32"/>
          <w:szCs w:val="32"/>
          <w:lang w:val="en-US" w:eastAsia="zh-CN"/>
        </w:rPr>
        <w:t>单位</w:t>
      </w:r>
      <w:r>
        <w:rPr>
          <w:rFonts w:hint="eastAsia" w:ascii="仿宋_GB2312" w:eastAsia="仿宋_GB2312" w:cs="仿宋_GB2312"/>
          <w:color w:val="auto"/>
          <w:sz w:val="32"/>
          <w:szCs w:val="32"/>
        </w:rPr>
        <w:t>决算中项目绩效自评结果</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（三）</w:t>
      </w:r>
      <w:r>
        <w:rPr>
          <w:rFonts w:hint="eastAsia" w:ascii="仿宋_GB2312" w:eastAsia="仿宋_GB2312" w:cs="仿宋_GB2312"/>
          <w:color w:val="auto"/>
          <w:sz w:val="32"/>
          <w:szCs w:val="32"/>
          <w:lang w:val="en-US" w:eastAsia="zh-CN"/>
        </w:rPr>
        <w:t>单位</w:t>
      </w:r>
      <w:r>
        <w:rPr>
          <w:rFonts w:hint="eastAsia" w:ascii="仿宋_GB2312" w:eastAsia="仿宋_GB2312" w:cs="仿宋_GB2312"/>
          <w:color w:val="auto"/>
          <w:sz w:val="32"/>
          <w:szCs w:val="32"/>
        </w:rPr>
        <w:t>评价项目绩效评价结果</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default" w:ascii="Times New Roman" w:hAnsi="Times New Roman" w:cs="Times New Roman"/>
          <w:color w:val="auto"/>
          <w:sz w:val="32"/>
          <w:szCs w:val="32"/>
          <w:lang w:val="en-US"/>
        </w:rPr>
        <w:t> </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黑体" w:hAnsi="宋体" w:eastAsia="黑体" w:cs="黑体"/>
          <w:b/>
          <w:bCs/>
          <w:color w:val="auto"/>
          <w:sz w:val="32"/>
          <w:szCs w:val="32"/>
        </w:rPr>
        <w:t>第三部分 名词解释</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黑体" w:hAnsi="宋体" w:eastAsia="黑体" w:cs="黑体"/>
          <w:b/>
          <w:bCs/>
          <w:color w:val="auto"/>
          <w:sz w:val="32"/>
          <w:szCs w:val="32"/>
        </w:rPr>
        <w:t>第四部分 决算公开联系方式及信息反馈渠道</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黑体" w:hAnsi="宋体" w:eastAsia="黑体" w:cs="黑体"/>
          <w:b/>
          <w:bCs/>
          <w:color w:val="auto"/>
          <w:sz w:val="32"/>
          <w:szCs w:val="32"/>
        </w:rPr>
        <w:t xml:space="preserve">第五部分 </w:t>
      </w:r>
      <w:r>
        <w:rPr>
          <w:rFonts w:hint="eastAsia" w:ascii="黑体" w:eastAsia="黑体" w:cs="黑体"/>
          <w:b/>
          <w:bCs/>
          <w:color w:val="auto"/>
          <w:sz w:val="32"/>
          <w:szCs w:val="32"/>
          <w:lang w:val="en-US" w:eastAsia="zh-CN"/>
        </w:rPr>
        <w:t>单位</w:t>
      </w:r>
      <w:r>
        <w:rPr>
          <w:rFonts w:hint="eastAsia" w:ascii="黑体" w:hAnsi="宋体" w:eastAsia="黑体" w:cs="黑体"/>
          <w:b/>
          <w:bCs/>
          <w:color w:val="auto"/>
          <w:sz w:val="32"/>
          <w:szCs w:val="32"/>
        </w:rPr>
        <w:t>决算公开表</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一、收入支出决算总表</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二、收入决算表</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三、支出决算表</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四、财政拨款收入支出决算总表</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五、项目收入支出决算表</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六、一般公共预算财政拨款支出决算表</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七、一般公共预算财政拨款基本支出决算明细表</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八、政府性基金预算财政拨款收入支出决算表</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九、国有资本经营预算财政拨款收入支出决算表</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十、财政拨款</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三公</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经费支出决算表</w:t>
      </w:r>
    </w:p>
    <w:p>
      <w:pPr>
        <w:keepNext w:val="0"/>
        <w:keepLines w:val="0"/>
        <w:widowControl/>
        <w:suppressLineNumbers w:val="0"/>
        <w:autoSpaceDE w:val="0"/>
        <w:autoSpaceDN w:val="0"/>
        <w:spacing w:before="100" w:beforeAutospacing="0" w:after="100" w:afterAutospacing="0" w:line="580" w:lineRule="atLeast"/>
        <w:ind w:left="0" w:right="0" w:firstLine="601"/>
        <w:jc w:val="left"/>
        <w:rPr>
          <w:color w:val="auto"/>
        </w:rPr>
      </w:pPr>
      <w:r>
        <w:rPr>
          <w:rFonts w:hint="eastAsia" w:ascii="仿宋_GB2312" w:eastAsia="仿宋_GB2312" w:cs="仿宋_GB2312"/>
          <w:color w:val="auto"/>
          <w:sz w:val="32"/>
          <w:szCs w:val="32"/>
        </w:rPr>
        <w:t>十一、机关运行经费支出、国有资产占用情况及政府采购支出信息表</w:t>
      </w:r>
    </w:p>
    <w:p>
      <w:pPr>
        <w:keepNext w:val="0"/>
        <w:keepLines w:val="0"/>
        <w:widowControl/>
        <w:suppressLineNumbers w:val="0"/>
        <w:autoSpaceDE w:val="0"/>
        <w:autoSpaceDN w:val="0"/>
        <w:spacing w:before="100" w:beforeAutospacing="0" w:after="100" w:afterAutospacing="0"/>
        <w:ind w:left="0" w:right="0" w:firstLine="601"/>
        <w:jc w:val="left"/>
        <w:rPr>
          <w:color w:val="auto"/>
        </w:rPr>
      </w:pPr>
      <w:r>
        <w:rPr>
          <w:rFonts w:hint="default" w:ascii="Times New Roman" w:hAnsi="Times New Roman" w:cs="Times New Roman"/>
          <w:b/>
          <w:bCs/>
          <w:color w:val="auto"/>
          <w:sz w:val="44"/>
          <w:szCs w:val="44"/>
          <w:lang w:val="en-US"/>
        </w:rPr>
        <w:t> </w:t>
      </w:r>
    </w:p>
    <w:p>
      <w:pPr>
        <w:keepNext w:val="0"/>
        <w:keepLines w:val="0"/>
        <w:widowControl/>
        <w:suppressLineNumbers w:val="0"/>
        <w:autoSpaceDE w:val="0"/>
        <w:autoSpaceDN w:val="0"/>
        <w:spacing w:before="100" w:beforeAutospacing="1" w:after="100" w:afterAutospacing="1"/>
        <w:ind w:left="0" w:right="0"/>
        <w:jc w:val="left"/>
        <w:rPr>
          <w:rFonts w:hint="eastAsia" w:ascii="宋体" w:hAnsi="宋体" w:eastAsia="宋体" w:cs="宋体"/>
          <w:color w:val="auto"/>
          <w:sz w:val="24"/>
          <w:szCs w:val="24"/>
          <w:lang w:val="en-US"/>
        </w:rPr>
      </w:pPr>
      <w:r>
        <w:rPr>
          <w:rFonts w:hint="default" w:ascii="Times New Roman" w:hAnsi="Times New Roman" w:cs="Times New Roman"/>
          <w:color w:val="auto"/>
          <w:sz w:val="24"/>
          <w:szCs w:val="24"/>
          <w:lang w:val="en-US"/>
        </w:rPr>
        <w:t> </w:t>
      </w:r>
      <w:r>
        <w:rPr>
          <w:rFonts w:hint="eastAsia" w:ascii="宋体" w:hAnsi="宋体" w:eastAsia="宋体" w:cs="宋体"/>
          <w:color w:val="auto"/>
          <w:sz w:val="24"/>
          <w:szCs w:val="24"/>
          <w:lang w:val="en-US"/>
        </w:rPr>
        <w:t> </w:t>
      </w:r>
    </w:p>
    <w:p>
      <w:pPr>
        <w:pStyle w:val="2"/>
        <w:rPr>
          <w:rFonts w:hint="eastAsia" w:ascii="宋体" w:hAnsi="宋体" w:eastAsia="宋体" w:cs="宋体"/>
          <w:color w:val="auto"/>
          <w:sz w:val="24"/>
          <w:szCs w:val="24"/>
          <w:lang w:val="en-US"/>
        </w:rPr>
      </w:pPr>
    </w:p>
    <w:p>
      <w:pPr>
        <w:pStyle w:val="2"/>
        <w:rPr>
          <w:rFonts w:hint="eastAsia" w:ascii="宋体" w:hAnsi="宋体" w:eastAsia="宋体" w:cs="宋体"/>
          <w:color w:val="auto"/>
          <w:sz w:val="24"/>
          <w:szCs w:val="24"/>
          <w:lang w:val="en-US"/>
        </w:rPr>
      </w:pPr>
    </w:p>
    <w:p>
      <w:pPr>
        <w:pStyle w:val="2"/>
        <w:rPr>
          <w:rFonts w:hint="eastAsia" w:ascii="宋体" w:hAnsi="宋体" w:eastAsia="宋体" w:cs="宋体"/>
          <w:color w:val="auto"/>
          <w:sz w:val="24"/>
          <w:szCs w:val="24"/>
          <w:lang w:val="en-US"/>
        </w:rPr>
      </w:pPr>
    </w:p>
    <w:p>
      <w:pPr>
        <w:pStyle w:val="2"/>
        <w:rPr>
          <w:rFonts w:hint="eastAsia" w:ascii="宋体" w:hAnsi="宋体" w:eastAsia="宋体" w:cs="宋体"/>
          <w:color w:val="auto"/>
          <w:sz w:val="24"/>
          <w:szCs w:val="24"/>
          <w:lang w:val="en-US"/>
        </w:rPr>
      </w:pPr>
    </w:p>
    <w:p>
      <w:pPr>
        <w:pStyle w:val="2"/>
        <w:rPr>
          <w:rFonts w:hint="eastAsia" w:ascii="宋体" w:hAnsi="宋体" w:eastAsia="宋体" w:cs="宋体"/>
          <w:color w:val="auto"/>
          <w:sz w:val="24"/>
          <w:szCs w:val="24"/>
          <w:lang w:val="en-US"/>
        </w:rPr>
      </w:pPr>
    </w:p>
    <w:p>
      <w:pPr>
        <w:pStyle w:val="2"/>
        <w:rPr>
          <w:rFonts w:hint="eastAsia" w:ascii="宋体" w:hAnsi="宋体" w:eastAsia="宋体" w:cs="宋体"/>
          <w:color w:val="auto"/>
          <w:sz w:val="24"/>
          <w:szCs w:val="24"/>
          <w:lang w:val="en-US"/>
        </w:rPr>
      </w:pPr>
    </w:p>
    <w:p>
      <w:pPr>
        <w:pStyle w:val="2"/>
        <w:rPr>
          <w:rFonts w:hint="eastAsia" w:ascii="宋体" w:hAnsi="宋体" w:eastAsia="宋体" w:cs="宋体"/>
          <w:color w:val="auto"/>
          <w:sz w:val="24"/>
          <w:szCs w:val="24"/>
          <w:lang w:val="en-US"/>
        </w:rPr>
      </w:pPr>
    </w:p>
    <w:p>
      <w:pPr>
        <w:pStyle w:val="2"/>
        <w:rPr>
          <w:rFonts w:hint="eastAsia" w:ascii="宋体" w:hAnsi="宋体" w:eastAsia="宋体" w:cs="宋体"/>
          <w:color w:val="auto"/>
          <w:sz w:val="24"/>
          <w:szCs w:val="24"/>
          <w:lang w:val="en-US"/>
        </w:rPr>
      </w:pPr>
    </w:p>
    <w:p>
      <w:pPr>
        <w:pStyle w:val="2"/>
        <w:rPr>
          <w:rFonts w:hint="eastAsia" w:ascii="宋体" w:hAnsi="宋体" w:eastAsia="宋体" w:cs="宋体"/>
          <w:color w:val="auto"/>
          <w:sz w:val="24"/>
          <w:szCs w:val="24"/>
          <w:lang w:val="en-US"/>
        </w:rPr>
      </w:pPr>
    </w:p>
    <w:p>
      <w:pPr>
        <w:pStyle w:val="2"/>
        <w:rPr>
          <w:rFonts w:hint="eastAsia" w:ascii="宋体" w:hAnsi="宋体" w:eastAsia="宋体" w:cs="宋体"/>
          <w:color w:val="auto"/>
          <w:sz w:val="24"/>
          <w:szCs w:val="24"/>
          <w:lang w:val="en-US"/>
        </w:rPr>
      </w:pPr>
    </w:p>
    <w:p>
      <w:pPr>
        <w:keepNext w:val="0"/>
        <w:keepLines w:val="0"/>
        <w:widowControl/>
        <w:suppressLineNumbers w:val="0"/>
        <w:autoSpaceDE w:val="0"/>
        <w:autoSpaceDN w:val="0"/>
        <w:spacing w:before="100" w:beforeAutospacing="0" w:after="100" w:afterAutospacing="0" w:line="580" w:lineRule="atLeast"/>
        <w:ind w:left="0" w:right="0" w:firstLine="600"/>
        <w:jc w:val="left"/>
        <w:rPr>
          <w:color w:val="auto"/>
        </w:rPr>
      </w:pPr>
      <w:r>
        <w:rPr>
          <w:rFonts w:hint="eastAsia" w:ascii="仿宋_GB2312" w:eastAsia="仿宋_GB2312" w:cs="仿宋_GB2312"/>
          <w:b/>
          <w:bCs/>
          <w:color w:val="auto"/>
          <w:sz w:val="32"/>
          <w:szCs w:val="32"/>
        </w:rPr>
        <w:t xml:space="preserve">第一部分 </w:t>
      </w:r>
      <w:r>
        <w:rPr>
          <w:rFonts w:hint="eastAsia" w:ascii="仿宋_GB2312" w:eastAsia="仿宋_GB2312" w:cs="仿宋_GB2312"/>
          <w:b/>
          <w:bCs/>
          <w:color w:val="auto"/>
          <w:sz w:val="32"/>
          <w:szCs w:val="32"/>
          <w:lang w:val="en-US" w:eastAsia="zh-CN"/>
        </w:rPr>
        <w:t>单位</w:t>
      </w:r>
      <w:r>
        <w:rPr>
          <w:rFonts w:hint="eastAsia" w:ascii="仿宋_GB2312" w:eastAsia="仿宋_GB2312" w:cs="仿宋_GB2312"/>
          <w:b/>
          <w:bCs/>
          <w:color w:val="auto"/>
          <w:sz w:val="32"/>
          <w:szCs w:val="32"/>
        </w:rPr>
        <w:t>基本情况</w:t>
      </w:r>
    </w:p>
    <w:p>
      <w:pPr>
        <w:keepNext w:val="0"/>
        <w:keepLines w:val="0"/>
        <w:widowControl/>
        <w:suppressLineNumbers w:val="0"/>
        <w:autoSpaceDE w:val="0"/>
        <w:autoSpaceDN w:val="0"/>
        <w:spacing w:before="100" w:beforeAutospacing="0" w:after="100" w:afterAutospacing="0" w:line="580" w:lineRule="atLeast"/>
        <w:ind w:left="0" w:right="0" w:firstLine="600"/>
        <w:jc w:val="left"/>
        <w:rPr>
          <w:color w:val="auto"/>
        </w:rPr>
      </w:pPr>
      <w:r>
        <w:rPr>
          <w:rFonts w:hint="eastAsia" w:ascii="仿宋_GB2312" w:eastAsia="仿宋_GB2312" w:cs="仿宋_GB2312"/>
          <w:color w:val="auto"/>
          <w:sz w:val="32"/>
          <w:szCs w:val="32"/>
        </w:rPr>
        <w:t>一、主要职能职责</w:t>
      </w:r>
    </w:p>
    <w:p>
      <w:pPr>
        <w:pStyle w:val="6"/>
        <w:widowControl/>
        <w:shd w:val="clear" w:color="auto" w:fill="FFFFFF"/>
        <w:spacing w:before="0" w:beforeAutospacing="0" w:after="300" w:afterAutospacing="0" w:line="578" w:lineRule="exact"/>
        <w:ind w:firstLine="645"/>
        <w:jc w:val="both"/>
        <w:rPr>
          <w:rFonts w:hint="eastAsia" w:ascii="仿宋_GB2312" w:hAnsi="仿宋_GB2312" w:eastAsia="仿宋_GB2312" w:cs="仿宋_GB2312"/>
          <w:color w:val="auto"/>
          <w:sz w:val="32"/>
          <w:szCs w:val="32"/>
        </w:rPr>
      </w:pPr>
      <w:r>
        <w:rPr>
          <w:rFonts w:hint="eastAsia" w:ascii="仿宋_GB2312" w:eastAsia="仿宋_GB2312" w:cs="仿宋_GB2312"/>
          <w:color w:val="auto"/>
          <w:sz w:val="32"/>
          <w:szCs w:val="32"/>
          <w:shd w:val="clear" w:color="auto" w:fill="FFFFFF"/>
        </w:rPr>
        <w:t>根据《中共包头市委办公室、包头市人民政府办公室关于印发〈包头市民政局职能配置、内设机构和人员编制规定〉的通知》（室发〔2019〕33号）精神，包头市民政局是市人民政府工作部门，为正处级。</w:t>
      </w:r>
      <w:r>
        <w:rPr>
          <w:rFonts w:hint="eastAsia" w:ascii="仿宋_GB2312" w:hAnsi="仿宋_GB2312" w:eastAsia="仿宋_GB2312" w:cs="仿宋_GB2312"/>
          <w:color w:val="auto"/>
          <w:sz w:val="32"/>
          <w:szCs w:val="32"/>
        </w:rPr>
        <w:t>主要职责有：</w:t>
      </w:r>
    </w:p>
    <w:p>
      <w:pPr>
        <w:widowControl/>
        <w:snapToGrid w:val="0"/>
        <w:spacing w:line="578"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（一）起草全市民政工作相关规范性文件，组织实施民政行业标准，拟订民政地方标准。</w:t>
      </w:r>
    </w:p>
    <w:p>
      <w:pPr>
        <w:widowControl/>
        <w:snapToGrid w:val="0"/>
        <w:spacing w:line="578"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（二）拟订全市社会团体、基金会、社会服务机构等社会组织发展规划和管理办法，依法对社会组织进行登记管理和执法监督。</w:t>
      </w:r>
    </w:p>
    <w:p>
      <w:pPr>
        <w:widowControl/>
        <w:snapToGrid w:val="0"/>
        <w:spacing w:line="578"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（三）拟订全市社会救助政策和标准，统筹社会救助体系建设，负责城乡最低生活保障、特困人员救助供养、临时救助、生活无着流浪乞讨人员救助工作。</w:t>
      </w:r>
    </w:p>
    <w:p>
      <w:pPr>
        <w:widowControl/>
        <w:snapToGrid w:val="0"/>
        <w:spacing w:line="578"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（四）拟订全市城乡基层群众自治建设和城乡社区治理政策，指导城乡社区治理体系和治理能力建设，提出加强和改进城乡基层政权建设的建议，推动基层民主政治建设。</w:t>
      </w:r>
    </w:p>
    <w:p>
      <w:pPr>
        <w:widowControl/>
        <w:snapToGrid w:val="0"/>
        <w:spacing w:line="578"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（五）拟订行政区划、行政区域界线管理和地名管理政策，承担全市行政区划变更的审核和申报工作，组织指导行政区域界线的勘定和管理工作，按规定权限负责地名管理工作。</w:t>
      </w:r>
    </w:p>
    <w:p>
      <w:pPr>
        <w:widowControl/>
        <w:snapToGrid w:val="0"/>
        <w:spacing w:line="578"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（六）拟订婚姻管理政策并组织实施，推进婚俗改革。</w:t>
      </w:r>
    </w:p>
    <w:p>
      <w:pPr>
        <w:widowControl/>
        <w:snapToGrid w:val="0"/>
        <w:spacing w:line="578"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（七）拟订殡葬管理政策、服务规范并组织实施，推进殡葬改革。</w:t>
      </w:r>
    </w:p>
    <w:p>
      <w:pPr>
        <w:widowControl/>
        <w:snapToGrid w:val="0"/>
        <w:spacing w:line="578"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（八）统筹推进、督促指导、监督管理全市养老服务工作，拟订养老服务体系建设规划、政策、标准并组织实施，承担老年人福利和特殊困难老年人救助工作。</w:t>
      </w:r>
    </w:p>
    <w:p>
      <w:pPr>
        <w:widowControl/>
        <w:snapToGrid w:val="0"/>
        <w:spacing w:line="578"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（九）拟订全市残疾人权益保护政策，统筹推进残疾人福利制度建设和康复辅助器具产业发展。</w:t>
      </w:r>
    </w:p>
    <w:p>
      <w:pPr>
        <w:widowControl/>
        <w:snapToGrid w:val="0"/>
        <w:spacing w:line="578"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（十）拟订儿童福利、孤弃儿童保障、儿童收养、儿童救助保护政策、标准，健全农村牧区留守儿童关爱服务体系和困境儿童保障制度。</w:t>
      </w:r>
    </w:p>
    <w:p>
      <w:pPr>
        <w:widowControl/>
        <w:snapToGrid w:val="0"/>
        <w:spacing w:line="578"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（十一）组织拟订促进慈善事业发展政策，指导社会捐助工作，负责福利彩票管理工作。</w:t>
      </w:r>
    </w:p>
    <w:p>
      <w:pPr>
        <w:widowControl/>
        <w:snapToGrid w:val="0"/>
        <w:spacing w:line="578"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二）拟订社会工作、志愿服务政策和标准，会同有关部门推进社会工作人才队伍建设和志愿者队伍建设。负责全市社会工作人才队伍的综合管理，牵头研究制定和组织实施社会工作人才队伍建设规划，并抓好年度计划实施。</w:t>
      </w:r>
    </w:p>
    <w:p>
      <w:pPr>
        <w:autoSpaceDE w:val="0"/>
        <w:autoSpaceDN w:val="0"/>
        <w:adjustRightInd w:val="0"/>
        <w:spacing w:line="578" w:lineRule="exact"/>
        <w:ind w:firstLine="600"/>
        <w:rPr>
          <w:color w:val="auto"/>
        </w:rPr>
      </w:pPr>
      <w:r>
        <w:rPr>
          <w:rFonts w:hint="eastAsia" w:ascii="仿宋_GB2312" w:hAnsi="仿宋_GB2312" w:eastAsia="仿宋_GB2312" w:cs="仿宋_GB2312"/>
          <w:color w:val="auto"/>
          <w:sz w:val="32"/>
          <w:szCs w:val="32"/>
        </w:rPr>
        <w:t>（十三）完成市委、市政府交办的其他任务。</w:t>
      </w:r>
    </w:p>
    <w:p>
      <w:pPr>
        <w:keepNext w:val="0"/>
        <w:keepLines w:val="0"/>
        <w:widowControl/>
        <w:suppressLineNumbers w:val="0"/>
        <w:autoSpaceDE w:val="0"/>
        <w:autoSpaceDN w:val="0"/>
        <w:spacing w:before="100" w:beforeAutospacing="0" w:after="100" w:afterAutospacing="0" w:line="580" w:lineRule="atLeast"/>
        <w:ind w:left="0" w:right="0" w:firstLine="600"/>
        <w:jc w:val="left"/>
        <w:rPr>
          <w:color w:val="auto"/>
        </w:rPr>
      </w:pPr>
      <w:r>
        <w:rPr>
          <w:rFonts w:hint="eastAsia" w:ascii="仿宋_GB2312" w:eastAsia="仿宋_GB2312" w:cs="仿宋_GB2312"/>
          <w:color w:val="auto"/>
          <w:sz w:val="32"/>
          <w:szCs w:val="32"/>
        </w:rPr>
        <w:t>二、单位机构设置及决算单位构成情况</w:t>
      </w:r>
    </w:p>
    <w:p>
      <w:pPr>
        <w:keepNext w:val="0"/>
        <w:keepLines w:val="0"/>
        <w:widowControl/>
        <w:suppressLineNumbers w:val="0"/>
        <w:autoSpaceDE w:val="0"/>
        <w:autoSpaceDN w:val="0"/>
        <w:spacing w:before="100" w:beforeAutospacing="0" w:after="100" w:afterAutospacing="0" w:line="580" w:lineRule="atLeast"/>
        <w:ind w:left="0" w:right="0" w:firstLine="600"/>
        <w:rPr>
          <w:rFonts w:hint="eastAsia" w:ascii="仿宋_GB2312" w:eastAsia="仿宋_GB2312" w:cs="仿宋_GB2312"/>
          <w:color w:val="auto"/>
          <w:sz w:val="32"/>
          <w:szCs w:val="32"/>
        </w:rPr>
      </w:pPr>
      <w:r>
        <w:rPr>
          <w:rFonts w:hint="eastAsia" w:ascii="仿宋_GB2312" w:eastAsia="仿宋_GB2312" w:cs="仿宋_GB2312"/>
          <w:color w:val="auto"/>
          <w:sz w:val="32"/>
          <w:szCs w:val="32"/>
          <w:lang w:val="en-US"/>
        </w:rPr>
        <w:t>1.</w:t>
      </w:r>
      <w:r>
        <w:rPr>
          <w:rFonts w:hint="eastAsia" w:ascii="仿宋_GB2312" w:eastAsia="仿宋_GB2312" w:cs="仿宋_GB2312"/>
          <w:color w:val="auto"/>
          <w:sz w:val="32"/>
          <w:szCs w:val="32"/>
        </w:rPr>
        <w:t>根据单位职责分工，本单位内设机构包括包括</w:t>
      </w:r>
      <w:r>
        <w:rPr>
          <w:rFonts w:hint="eastAsia" w:ascii="仿宋_GB2312" w:hAnsi="仿宋_GB2312" w:eastAsia="仿宋_GB2312" w:cs="仿宋_GB2312"/>
          <w:color w:val="auto"/>
          <w:sz w:val="32"/>
          <w:szCs w:val="32"/>
        </w:rPr>
        <w:t>办公室(政策法规科)、人事科(精神文明建设办公室、离退休人员工作科)、规划财务科、包头市社会组织管理局（包头市社会组织执法监督局、行政审批科）、社会救助科、基层政权建设和社区治理科（包头市城乡社区建设领导小组办公室）、区划地名科、社会事务科、养老服务科、儿童福利科、慈善事业促进和社会工作科共11个科室，另设社会组织党建办公室、机关党委</w:t>
      </w:r>
      <w:r>
        <w:rPr>
          <w:rFonts w:hint="eastAsia" w:ascii="仿宋_GB2312" w:eastAsia="仿宋_GB2312" w:cs="仿宋_GB2312"/>
          <w:color w:val="auto"/>
          <w:sz w:val="32"/>
          <w:szCs w:val="32"/>
        </w:rPr>
        <w:t>。本单位下属单位包括：本单位无下属单位。</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sz w:val="32"/>
          <w:szCs w:val="32"/>
        </w:rPr>
      </w:pPr>
      <w:r>
        <w:rPr>
          <w:rFonts w:hint="eastAsia" w:ascii="仿宋_GB2312" w:eastAsia="仿宋_GB2312" w:cs="仿宋_GB2312"/>
          <w:color w:val="auto"/>
          <w:sz w:val="32"/>
          <w:szCs w:val="32"/>
          <w:lang w:val="en-US"/>
        </w:rPr>
        <w:t>2.</w:t>
      </w:r>
      <w:r>
        <w:rPr>
          <w:rFonts w:hint="eastAsia" w:ascii="仿宋_GB2312" w:eastAsia="仿宋_GB2312" w:cs="仿宋_GB2312"/>
          <w:color w:val="auto"/>
          <w:sz w:val="32"/>
          <w:szCs w:val="32"/>
        </w:rPr>
        <w:t>从决算单位构成看，纳入本部门</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年度部门汇总决算编制范围的预算单位共计</w:t>
      </w:r>
      <w:r>
        <w:rPr>
          <w:rFonts w:hint="eastAsia" w:ascii="仿宋_GB2312" w:eastAsia="仿宋_GB2312" w:cs="仿宋_GB2312"/>
          <w:color w:val="auto"/>
          <w:sz w:val="32"/>
          <w:szCs w:val="32"/>
          <w:lang w:val="en-US" w:eastAsia="zh-CN"/>
        </w:rPr>
        <w:t>1</w:t>
      </w:r>
      <w:r>
        <w:rPr>
          <w:rFonts w:hint="eastAsia" w:ascii="仿宋_GB2312" w:eastAsia="仿宋_GB2312" w:cs="仿宋_GB2312"/>
          <w:color w:val="auto"/>
          <w:sz w:val="32"/>
          <w:szCs w:val="32"/>
        </w:rPr>
        <w:t>家，详细情况见表：</w:t>
      </w:r>
    </w:p>
    <w:tbl>
      <w:tblPr>
        <w:tblStyle w:val="7"/>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0" w:type="dxa"/>
          <w:left w:w="0" w:type="dxa"/>
          <w:bottom w:w="0" w:type="dxa"/>
          <w:right w:w="0" w:type="dxa"/>
        </w:tblCellMar>
      </w:tblPr>
      <w:tblGrid>
        <w:gridCol w:w="1101"/>
        <w:gridCol w:w="7422"/>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PrEx>
        <w:tc>
          <w:tcPr>
            <w:tcW w:w="1101" w:type="dxa"/>
            <w:tcBorders>
              <w:top w:val="single" w:color="auto" w:sz="8" w:space="0"/>
              <w:left w:val="single" w:color="auto" w:sz="8" w:space="0"/>
              <w:bottom w:val="single" w:color="auto" w:sz="8" w:space="0"/>
              <w:right w:val="single" w:color="auto" w:sz="8" w:space="0"/>
            </w:tcBorders>
            <w:noWrap w:val="0"/>
            <w:tcMar>
              <w:left w:w="108" w:type="dxa"/>
              <w:right w:w="108" w:type="dxa"/>
            </w:tcMar>
            <w:vAlign w:val="top"/>
          </w:tcPr>
          <w:p>
            <w:pPr>
              <w:keepNext w:val="0"/>
              <w:keepLines w:val="0"/>
              <w:widowControl/>
              <w:suppressLineNumbers w:val="0"/>
              <w:autoSpaceDE w:val="0"/>
              <w:autoSpaceDN w:val="0"/>
              <w:spacing w:before="100" w:beforeAutospacing="1" w:after="100" w:afterAutospacing="1"/>
              <w:ind w:left="0" w:right="0"/>
              <w:jc w:val="center"/>
              <w:rPr>
                <w:color w:val="auto"/>
              </w:rPr>
            </w:pPr>
            <w:r>
              <w:rPr>
                <w:rFonts w:hint="eastAsia" w:ascii="仿宋_GB2312" w:eastAsia="仿宋_GB2312" w:cs="仿宋_GB2312"/>
                <w:color w:val="auto"/>
                <w:sz w:val="32"/>
                <w:szCs w:val="32"/>
              </w:rPr>
              <w:t>序号</w:t>
            </w:r>
          </w:p>
        </w:tc>
        <w:tc>
          <w:tcPr>
            <w:tcW w:w="7422" w:type="dxa"/>
            <w:tcBorders>
              <w:top w:val="single" w:color="auto" w:sz="8" w:space="0"/>
              <w:left w:val="nil"/>
              <w:bottom w:val="single" w:color="auto" w:sz="8" w:space="0"/>
              <w:right w:val="single" w:color="auto" w:sz="8" w:space="0"/>
            </w:tcBorders>
            <w:noWrap w:val="0"/>
            <w:tcMar>
              <w:left w:w="108" w:type="dxa"/>
              <w:right w:w="108" w:type="dxa"/>
            </w:tcMar>
            <w:vAlign w:val="top"/>
          </w:tcPr>
          <w:p>
            <w:pPr>
              <w:keepNext w:val="0"/>
              <w:keepLines w:val="0"/>
              <w:widowControl/>
              <w:suppressLineNumbers w:val="0"/>
              <w:autoSpaceDE w:val="0"/>
              <w:autoSpaceDN w:val="0"/>
              <w:spacing w:before="100" w:beforeAutospacing="1" w:after="100" w:afterAutospacing="1"/>
              <w:ind w:left="0" w:right="0"/>
              <w:jc w:val="center"/>
              <w:rPr>
                <w:color w:val="auto"/>
              </w:rPr>
            </w:pPr>
            <w:r>
              <w:rPr>
                <w:rFonts w:hint="eastAsia" w:ascii="仿宋_GB2312" w:eastAsia="仿宋_GB2312" w:cs="仿宋_GB2312"/>
                <w:color w:val="auto"/>
                <w:sz w:val="32"/>
                <w:szCs w:val="32"/>
              </w:rPr>
              <w:t>单位名称</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101" w:type="dxa"/>
            <w:tcBorders>
              <w:top w:val="nil"/>
              <w:left w:val="single" w:color="auto" w:sz="8" w:space="0"/>
              <w:bottom w:val="single" w:color="auto" w:sz="8" w:space="0"/>
              <w:right w:val="single" w:color="auto" w:sz="8" w:space="0"/>
            </w:tcBorders>
            <w:noWrap w:val="0"/>
            <w:tcMar>
              <w:left w:w="108" w:type="dxa"/>
              <w:right w:w="108" w:type="dxa"/>
            </w:tcMar>
            <w:vAlign w:val="top"/>
          </w:tcPr>
          <w:p>
            <w:pPr>
              <w:keepNext w:val="0"/>
              <w:keepLines w:val="0"/>
              <w:widowControl/>
              <w:suppressLineNumbers w:val="0"/>
              <w:autoSpaceDE w:val="0"/>
              <w:autoSpaceDN w:val="0"/>
              <w:spacing w:before="100" w:beforeAutospacing="1" w:after="100" w:afterAutospacing="1"/>
              <w:ind w:left="0" w:right="0"/>
              <w:jc w:val="center"/>
              <w:rPr>
                <w:color w:val="auto"/>
              </w:rPr>
            </w:pPr>
            <w:r>
              <w:rPr>
                <w:rFonts w:hint="eastAsia" w:ascii="仿宋_GB2312" w:eastAsia="仿宋_GB2312" w:cs="仿宋_GB2312"/>
                <w:color w:val="auto"/>
                <w:sz w:val="32"/>
                <w:szCs w:val="32"/>
                <w:lang w:val="en-US"/>
              </w:rPr>
              <w:t>1</w:t>
            </w:r>
          </w:p>
        </w:tc>
        <w:tc>
          <w:tcPr>
            <w:tcW w:w="7422" w:type="dxa"/>
            <w:tcBorders>
              <w:top w:val="nil"/>
              <w:left w:val="nil"/>
              <w:bottom w:val="single" w:color="auto" w:sz="8" w:space="0"/>
              <w:right w:val="single" w:color="auto" w:sz="8" w:space="0"/>
            </w:tcBorders>
            <w:noWrap w:val="0"/>
            <w:tcMar>
              <w:left w:w="108" w:type="dxa"/>
              <w:right w:w="108" w:type="dxa"/>
            </w:tcMar>
            <w:vAlign w:val="top"/>
          </w:tcPr>
          <w:p>
            <w:pPr>
              <w:keepNext w:val="0"/>
              <w:keepLines w:val="0"/>
              <w:widowControl/>
              <w:suppressLineNumbers w:val="0"/>
              <w:autoSpaceDE w:val="0"/>
              <w:autoSpaceDN w:val="0"/>
              <w:spacing w:before="100" w:beforeAutospacing="1" w:after="100" w:afterAutospacing="1"/>
              <w:ind w:left="0" w:right="0"/>
              <w:jc w:val="center"/>
              <w:rPr>
                <w:color w:val="auto"/>
              </w:rPr>
            </w:pPr>
            <w:r>
              <w:rPr>
                <w:rFonts w:hint="eastAsia" w:ascii="仿宋_GB2312" w:eastAsia="仿宋_GB2312" w:cs="仿宋_GB2312"/>
                <w:color w:val="auto"/>
                <w:sz w:val="32"/>
                <w:szCs w:val="32"/>
                <w:lang w:val="en-US" w:eastAsia="zh-CN"/>
              </w:rPr>
              <w:t>包头市民政局</w:t>
            </w:r>
            <w:r>
              <w:rPr>
                <w:rFonts w:hint="eastAsia" w:ascii="仿宋_GB2312" w:eastAsia="仿宋_GB2312" w:cs="仿宋_GB2312"/>
                <w:color w:val="auto"/>
                <w:sz w:val="32"/>
                <w:szCs w:val="32"/>
              </w:rPr>
              <w:t>（本级）</w:t>
            </w:r>
          </w:p>
        </w:tc>
      </w:tr>
    </w:tbl>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hAnsi="仿宋_GB2312" w:eastAsia="仿宋_GB2312" w:cs="仿宋_GB2312"/>
          <w:color w:val="auto"/>
          <w:sz w:val="33"/>
          <w:szCs w:val="33"/>
        </w:rPr>
        <w:t>三、2021年度主要工作完成情况</w:t>
      </w:r>
    </w:p>
    <w:p>
      <w:pPr>
        <w:keepNext w:val="0"/>
        <w:keepLines w:val="0"/>
        <w:pageBreakBefore w:val="0"/>
        <w:widowControl w:val="0"/>
        <w:numPr>
          <w:ilvl w:val="0"/>
          <w:numId w:val="0"/>
        </w:numPr>
        <w:kinsoku/>
        <w:wordWrap/>
        <w:overflowPunct/>
        <w:topLinePunct w:val="0"/>
        <w:autoSpaceDE/>
        <w:autoSpaceDN/>
        <w:bidi w:val="0"/>
        <w:snapToGrid w:val="0"/>
        <w:spacing w:line="580" w:lineRule="exact"/>
        <w:ind w:firstLine="640" w:firstLineChars="200"/>
        <w:textAlignment w:val="baseline"/>
        <w:rPr>
          <w:rFonts w:hint="eastAsia" w:ascii="仿宋_GB2312" w:hAnsi="Calibri" w:eastAsia="仿宋_GB2312" w:cs="Times New Roman"/>
          <w:bCs/>
          <w:color w:val="auto"/>
          <w:kern w:val="2"/>
          <w:sz w:val="32"/>
          <w:szCs w:val="32"/>
          <w:lang w:val="en-US" w:eastAsia="zh-CN" w:bidi="ar-SA"/>
        </w:rPr>
      </w:pPr>
      <w:r>
        <w:rPr>
          <w:rFonts w:hint="eastAsia" w:ascii="仿宋_GB2312" w:hAnsi="Calibri" w:eastAsia="仿宋_GB2312" w:cs="Times New Roman"/>
          <w:bCs/>
          <w:color w:val="auto"/>
          <w:kern w:val="2"/>
          <w:sz w:val="32"/>
          <w:szCs w:val="32"/>
          <w:lang w:val="en-US" w:eastAsia="zh-CN" w:bidi="ar-SA"/>
        </w:rPr>
        <w:t>高质量完成第十一届嘎查村（居）委员会换届选举。在自治区率先建成并使用市级智慧养老服务平台，全市50%的社区建成居家社区养老服务站点。引进多家国内知名的养老服务品牌企业。深化“放管服”改革，实现行政行为“少快好”。荣获国家级、自治区级的荣誉共2项：全国农村留守儿童关爱保护和困境儿童保障工作先进集体，内蒙古自治区脱贫攻坚先进集体。在自治区民政厅的综合评估中获评“优秀”等级。</w:t>
      </w:r>
    </w:p>
    <w:p>
      <w:pPr>
        <w:keepNext w:val="0"/>
        <w:keepLines w:val="0"/>
        <w:pageBreakBefore w:val="0"/>
        <w:widowControl w:val="0"/>
        <w:numPr>
          <w:ilvl w:val="0"/>
          <w:numId w:val="1"/>
        </w:numPr>
        <w:kinsoku/>
        <w:wordWrap/>
        <w:overflowPunct/>
        <w:topLinePunct w:val="0"/>
        <w:autoSpaceDE/>
        <w:autoSpaceDN/>
        <w:bidi w:val="0"/>
        <w:snapToGrid w:val="0"/>
        <w:spacing w:line="580" w:lineRule="exact"/>
        <w:ind w:left="-10" w:leftChars="0" w:firstLine="640" w:firstLineChars="0"/>
        <w:textAlignment w:val="baseline"/>
        <w:rPr>
          <w:rFonts w:hint="eastAsia" w:ascii="楷体_GB2312" w:hAnsi="楷体_GB2312" w:eastAsia="楷体_GB2312" w:cs="楷体_GB2312"/>
          <w:color w:val="auto"/>
          <w:kern w:val="2"/>
          <w:sz w:val="32"/>
          <w:szCs w:val="32"/>
          <w:lang w:val="en-US" w:eastAsia="zh-CN" w:bidi="ar-SA"/>
        </w:rPr>
      </w:pPr>
      <w:r>
        <w:rPr>
          <w:rFonts w:hint="eastAsia" w:ascii="楷体_GB2312" w:hAnsi="楷体_GB2312" w:eastAsia="楷体_GB2312" w:cs="楷体_GB2312"/>
          <w:color w:val="auto"/>
          <w:kern w:val="2"/>
          <w:sz w:val="32"/>
          <w:szCs w:val="32"/>
          <w:lang w:val="en-US" w:eastAsia="zh-CN" w:bidi="ar-SA"/>
        </w:rPr>
        <w:t>社会救助工作精准高效</w:t>
      </w:r>
    </w:p>
    <w:p>
      <w:pPr>
        <w:keepNext w:val="0"/>
        <w:keepLines w:val="0"/>
        <w:pageBreakBefore w:val="0"/>
        <w:widowControl w:val="0"/>
        <w:numPr>
          <w:ilvl w:val="0"/>
          <w:numId w:val="0"/>
        </w:numPr>
        <w:kinsoku/>
        <w:wordWrap/>
        <w:overflowPunct/>
        <w:topLinePunct w:val="0"/>
        <w:autoSpaceDE/>
        <w:autoSpaceDN/>
        <w:bidi w:val="0"/>
        <w:snapToGrid w:val="0"/>
        <w:spacing w:line="580" w:lineRule="exact"/>
        <w:ind w:firstLine="643" w:firstLineChars="200"/>
        <w:textAlignment w:val="baseline"/>
        <w:rPr>
          <w:rFonts w:hint="default" w:ascii="仿宋_GB2312" w:hAnsi="Calibri" w:eastAsia="仿宋_GB2312" w:cs="Times New Roman"/>
          <w:bCs/>
          <w:color w:val="auto"/>
          <w:kern w:val="2"/>
          <w:sz w:val="32"/>
          <w:szCs w:val="32"/>
          <w:lang w:val="en-US" w:eastAsia="zh-CN" w:bidi="ar-SA"/>
        </w:rPr>
      </w:pPr>
      <w:r>
        <w:rPr>
          <w:rFonts w:hint="default" w:ascii="仿宋_GB2312" w:hAnsi="Calibri" w:eastAsia="仿宋_GB2312" w:cs="Times New Roman"/>
          <w:b/>
          <w:bCs w:val="0"/>
          <w:color w:val="auto"/>
          <w:kern w:val="2"/>
          <w:sz w:val="32"/>
          <w:szCs w:val="32"/>
          <w:lang w:val="en-US" w:eastAsia="zh-CN" w:bidi="ar-SA"/>
        </w:rPr>
        <w:t>城乡低保保障标准再提</w:t>
      </w:r>
      <w:r>
        <w:rPr>
          <w:rFonts w:hint="eastAsia" w:ascii="仿宋_GB2312" w:hAnsi="Calibri" w:eastAsia="仿宋_GB2312" w:cs="Times New Roman"/>
          <w:b/>
          <w:bCs w:val="0"/>
          <w:color w:val="auto"/>
          <w:kern w:val="2"/>
          <w:sz w:val="32"/>
          <w:szCs w:val="32"/>
          <w:lang w:val="en-US" w:eastAsia="zh-CN" w:bidi="ar-SA"/>
        </w:rPr>
        <w:t>高</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城镇低保每月提高45元，达到每人每月795元；农村牧区低保每年提高400元，达到每人每年7044元</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保障标准高于自治区和全国平均水平。</w:t>
      </w:r>
      <w:r>
        <w:rPr>
          <w:rFonts w:hint="eastAsia" w:ascii="仿宋_GB2312" w:hAnsi="Calibri" w:eastAsia="仿宋_GB2312" w:cs="Times New Roman"/>
          <w:bCs/>
          <w:color w:val="auto"/>
          <w:kern w:val="2"/>
          <w:sz w:val="32"/>
          <w:szCs w:val="32"/>
          <w:lang w:val="en-US" w:eastAsia="zh-CN" w:bidi="ar-SA"/>
        </w:rPr>
        <w:t>今年共支出社会救助资金2.3亿元，保障城乡低保对象18234户、29456人，救助特困供养人员4050人，临时救助8160人次。为</w:t>
      </w:r>
      <w:r>
        <w:rPr>
          <w:rFonts w:hint="default" w:ascii="仿宋_GB2312" w:hAnsi="Calibri" w:eastAsia="仿宋_GB2312" w:cs="Times New Roman"/>
          <w:bCs/>
          <w:color w:val="auto"/>
          <w:kern w:val="2"/>
          <w:sz w:val="32"/>
          <w:szCs w:val="32"/>
          <w:lang w:eastAsia="zh-CN" w:bidi="ar-SA"/>
        </w:rPr>
        <w:t>3万多名</w:t>
      </w:r>
      <w:r>
        <w:rPr>
          <w:rFonts w:hint="eastAsia" w:ascii="仿宋_GB2312" w:hAnsi="Calibri" w:eastAsia="仿宋_GB2312" w:cs="Times New Roman"/>
          <w:bCs/>
          <w:color w:val="auto"/>
          <w:kern w:val="2"/>
          <w:sz w:val="32"/>
          <w:szCs w:val="32"/>
          <w:lang w:val="en-US" w:eastAsia="zh-CN" w:bidi="ar-SA"/>
        </w:rPr>
        <w:t>困难残疾人和重度残疾人发放“两项补贴”，持续提升困难群众基本生活保障水平</w:t>
      </w:r>
      <w:r>
        <w:rPr>
          <w:rFonts w:hint="default" w:ascii="仿宋_GB2312" w:hAnsi="Calibri" w:eastAsia="仿宋_GB2312" w:cs="Times New Roman"/>
          <w:bCs/>
          <w:color w:val="auto"/>
          <w:kern w:val="2"/>
          <w:sz w:val="32"/>
          <w:szCs w:val="32"/>
          <w:lang w:val="en-US" w:eastAsia="zh-CN" w:bidi="ar-SA"/>
        </w:rPr>
        <w:t>。</w:t>
      </w:r>
      <w:r>
        <w:rPr>
          <w:rFonts w:hint="eastAsia" w:ascii="仿宋_GB2312" w:hAnsi="Calibri" w:eastAsia="仿宋_GB2312" w:cs="Times New Roman"/>
          <w:b/>
          <w:bCs w:val="0"/>
          <w:color w:val="auto"/>
          <w:kern w:val="2"/>
          <w:sz w:val="32"/>
          <w:szCs w:val="32"/>
          <w:lang w:val="en-US" w:eastAsia="zh-CN" w:bidi="ar-SA"/>
        </w:rPr>
        <w:t>社会救助认定更精准</w:t>
      </w:r>
      <w:r>
        <w:rPr>
          <w:rFonts w:hint="default" w:ascii="仿宋_GB2312" w:hAnsi="Calibri" w:eastAsia="仿宋_GB2312" w:cs="Times New Roman"/>
          <w:bCs/>
          <w:color w:val="auto"/>
          <w:kern w:val="2"/>
          <w:sz w:val="32"/>
          <w:szCs w:val="32"/>
          <w:lang w:val="en-US" w:eastAsia="zh-CN" w:bidi="ar-SA"/>
        </w:rPr>
        <w:t>，修订《包头市最低生活保障对象认定办法》，</w:t>
      </w:r>
      <w:r>
        <w:rPr>
          <w:rFonts w:hint="eastAsia" w:ascii="仿宋_GB2312" w:hAnsi="Calibri" w:eastAsia="仿宋_GB2312" w:cs="Times New Roman"/>
          <w:bCs/>
          <w:color w:val="auto"/>
          <w:kern w:val="2"/>
          <w:sz w:val="32"/>
          <w:szCs w:val="32"/>
          <w:lang w:val="en-US" w:eastAsia="zh-CN" w:bidi="ar-SA"/>
        </w:rPr>
        <w:t>制定《包头市困难残疾人生活补贴和重度残疾人护理补贴规范管理操作规程》，进一步提高了低保认定和残疾人两项补贴识别认定的精准性</w:t>
      </w:r>
      <w:r>
        <w:rPr>
          <w:rFonts w:hint="default" w:ascii="仿宋_GB2312" w:hAnsi="Calibri" w:eastAsia="仿宋_GB2312" w:cs="Times New Roman"/>
          <w:bCs/>
          <w:color w:val="auto"/>
          <w:kern w:val="2"/>
          <w:sz w:val="32"/>
          <w:szCs w:val="32"/>
          <w:lang w:val="en-US" w:eastAsia="zh-CN" w:bidi="ar-SA"/>
        </w:rPr>
        <w:t>。</w:t>
      </w:r>
      <w:r>
        <w:rPr>
          <w:rFonts w:hint="eastAsia" w:ascii="仿宋_GB2312" w:hAnsi="Calibri" w:eastAsia="仿宋_GB2312" w:cs="Times New Roman"/>
          <w:b/>
          <w:bCs w:val="0"/>
          <w:color w:val="auto"/>
          <w:kern w:val="2"/>
          <w:sz w:val="32"/>
          <w:szCs w:val="32"/>
          <w:lang w:val="en-US" w:eastAsia="zh-CN" w:bidi="ar-SA"/>
        </w:rPr>
        <w:t>社会救助政策更完善</w:t>
      </w:r>
      <w:r>
        <w:rPr>
          <w:rFonts w:hint="eastAsia" w:ascii="仿宋_GB2312" w:hAnsi="Calibri" w:eastAsia="仿宋_GB2312" w:cs="Times New Roman"/>
          <w:bCs/>
          <w:color w:val="auto"/>
          <w:kern w:val="2"/>
          <w:sz w:val="32"/>
          <w:szCs w:val="32"/>
          <w:lang w:val="en-US" w:eastAsia="zh-CN" w:bidi="ar-SA"/>
        </w:rPr>
        <w:t>，印发了《关于改革完善社会救助制度的实施措施》《低收入人口动态监测和常态化帮扶工作方案》《关于建立完善社会救助主动发现工作机制的通知》《关于进一步加强临时救助工作的通知》《关于健全完善嘎查村、社区社会救助协理员制度的实施意见》，社会救助政策法规更加健全完善。</w:t>
      </w:r>
      <w:r>
        <w:rPr>
          <w:rFonts w:hint="eastAsia" w:ascii="仿宋_GB2312" w:hAnsi="Calibri" w:eastAsia="仿宋_GB2312" w:cs="Times New Roman"/>
          <w:b/>
          <w:bCs w:val="0"/>
          <w:color w:val="auto"/>
          <w:kern w:val="2"/>
          <w:sz w:val="32"/>
          <w:szCs w:val="32"/>
          <w:lang w:val="en-US" w:eastAsia="zh-CN" w:bidi="ar-SA"/>
        </w:rPr>
        <w:t>社会救助</w:t>
      </w:r>
      <w:r>
        <w:rPr>
          <w:rFonts w:hint="default" w:ascii="仿宋_GB2312" w:hAnsi="Calibri" w:eastAsia="仿宋_GB2312" w:cs="Times New Roman"/>
          <w:b/>
          <w:bCs w:val="0"/>
          <w:color w:val="auto"/>
          <w:kern w:val="2"/>
          <w:sz w:val="32"/>
          <w:szCs w:val="32"/>
          <w:lang w:val="en-US" w:eastAsia="zh-CN" w:bidi="ar-SA"/>
        </w:rPr>
        <w:t>服务</w:t>
      </w:r>
      <w:r>
        <w:rPr>
          <w:rFonts w:hint="eastAsia" w:ascii="仿宋_GB2312" w:hAnsi="Calibri" w:eastAsia="仿宋_GB2312" w:cs="Times New Roman"/>
          <w:b/>
          <w:bCs w:val="0"/>
          <w:color w:val="auto"/>
          <w:kern w:val="2"/>
          <w:sz w:val="32"/>
          <w:szCs w:val="32"/>
          <w:lang w:val="en-US" w:eastAsia="zh-CN" w:bidi="ar-SA"/>
        </w:rPr>
        <w:t>多样化</w:t>
      </w:r>
      <w:r>
        <w:rPr>
          <w:rFonts w:hint="default" w:ascii="仿宋_GB2312" w:hAnsi="Calibri" w:eastAsia="仿宋_GB2312" w:cs="Times New Roman"/>
          <w:bCs/>
          <w:color w:val="auto"/>
          <w:kern w:val="2"/>
          <w:sz w:val="32"/>
          <w:szCs w:val="32"/>
          <w:lang w:val="en-US" w:eastAsia="zh-CN" w:bidi="ar-SA"/>
        </w:rPr>
        <w:t>，全市共投入265万元开展政府购买社会救助服务项目，</w:t>
      </w:r>
      <w:r>
        <w:rPr>
          <w:rFonts w:hint="eastAsia" w:ascii="仿宋_GB2312" w:hAnsi="Calibri" w:eastAsia="仿宋_GB2312" w:cs="Times New Roman"/>
          <w:bCs/>
          <w:color w:val="auto"/>
          <w:kern w:val="2"/>
          <w:sz w:val="32"/>
          <w:szCs w:val="32"/>
          <w:lang w:val="en-US" w:eastAsia="zh-CN" w:bidi="ar-SA"/>
        </w:rPr>
        <w:t>有效充实基层社会救助力量；</w:t>
      </w:r>
      <w:r>
        <w:rPr>
          <w:rFonts w:hint="default" w:ascii="仿宋_GB2312" w:hAnsi="Calibri" w:eastAsia="仿宋_GB2312" w:cs="Times New Roman"/>
          <w:bCs/>
          <w:color w:val="auto"/>
          <w:kern w:val="2"/>
          <w:sz w:val="32"/>
          <w:szCs w:val="32"/>
          <w:lang w:val="en-US" w:eastAsia="zh-CN" w:bidi="ar-SA"/>
        </w:rPr>
        <w:t>指导青山区、九原区开展困难群众居住地申请最低生活保障试点和社会救助“物质+服务”试点工作，提供</w:t>
      </w:r>
      <w:r>
        <w:rPr>
          <w:rFonts w:hint="eastAsia" w:ascii="仿宋_GB2312" w:hAnsi="Calibri" w:eastAsia="仿宋_GB2312" w:cs="Times New Roman"/>
          <w:bCs/>
          <w:color w:val="auto"/>
          <w:kern w:val="2"/>
          <w:sz w:val="32"/>
          <w:szCs w:val="32"/>
          <w:lang w:val="en-US" w:eastAsia="zh-CN" w:bidi="ar-SA"/>
        </w:rPr>
        <w:t>更便捷多元</w:t>
      </w:r>
      <w:r>
        <w:rPr>
          <w:rFonts w:hint="default" w:ascii="仿宋_GB2312" w:hAnsi="Calibri" w:eastAsia="仿宋_GB2312" w:cs="Times New Roman"/>
          <w:bCs/>
          <w:color w:val="auto"/>
          <w:kern w:val="2"/>
          <w:sz w:val="32"/>
          <w:szCs w:val="32"/>
          <w:lang w:val="en-US" w:eastAsia="zh-CN" w:bidi="ar-SA"/>
        </w:rPr>
        <w:t>的服务</w:t>
      </w:r>
      <w:r>
        <w:rPr>
          <w:rFonts w:hint="eastAsia" w:ascii="仿宋_GB2312" w:hAnsi="Calibri" w:eastAsia="仿宋_GB2312" w:cs="Times New Roman"/>
          <w:bCs/>
          <w:color w:val="auto"/>
          <w:kern w:val="2"/>
          <w:sz w:val="32"/>
          <w:szCs w:val="32"/>
          <w:lang w:val="en-US" w:eastAsia="zh-CN" w:bidi="ar-SA"/>
        </w:rPr>
        <w:t>，满足</w:t>
      </w:r>
      <w:r>
        <w:rPr>
          <w:rFonts w:hint="default" w:ascii="仿宋_GB2312" w:hAnsi="Calibri" w:eastAsia="仿宋_GB2312" w:cs="Times New Roman"/>
          <w:bCs/>
          <w:color w:val="auto"/>
          <w:kern w:val="2"/>
          <w:sz w:val="32"/>
          <w:szCs w:val="32"/>
          <w:lang w:val="en-US" w:eastAsia="zh-CN" w:bidi="ar-SA"/>
        </w:rPr>
        <w:t>困难群体的多样化需求。</w:t>
      </w:r>
      <w:r>
        <w:rPr>
          <w:rFonts w:hint="eastAsia" w:ascii="仿宋_GB2312" w:hAnsi="Calibri" w:eastAsia="仿宋_GB2312" w:cs="Times New Roman"/>
          <w:b/>
          <w:bCs w:val="0"/>
          <w:color w:val="auto"/>
          <w:kern w:val="2"/>
          <w:sz w:val="32"/>
          <w:szCs w:val="32"/>
          <w:lang w:val="en-US" w:eastAsia="zh-CN" w:bidi="ar-SA"/>
        </w:rPr>
        <w:t>巩固拓展脱贫攻坚成果同</w:t>
      </w:r>
      <w:bookmarkStart w:id="0" w:name="_GoBack"/>
      <w:bookmarkEnd w:id="0"/>
      <w:r>
        <w:rPr>
          <w:rFonts w:hint="eastAsia" w:ascii="仿宋_GB2312" w:hAnsi="Calibri" w:eastAsia="仿宋_GB2312" w:cs="Times New Roman"/>
          <w:b/>
          <w:bCs w:val="0"/>
          <w:color w:val="auto"/>
          <w:kern w:val="2"/>
          <w:sz w:val="32"/>
          <w:szCs w:val="32"/>
          <w:lang w:val="en-US" w:eastAsia="zh-CN" w:bidi="ar-SA"/>
        </w:rPr>
        <w:t>乡村振兴有效衔接</w:t>
      </w:r>
      <w:r>
        <w:rPr>
          <w:rFonts w:hint="default" w:ascii="仿宋_GB2312" w:hAnsi="Calibri" w:eastAsia="仿宋_GB2312" w:cs="Times New Roman"/>
          <w:bCs/>
          <w:color w:val="auto"/>
          <w:kern w:val="2"/>
          <w:sz w:val="32"/>
          <w:szCs w:val="32"/>
          <w:lang w:val="en-US" w:eastAsia="zh-CN" w:bidi="ar-SA"/>
        </w:rPr>
        <w:t>，</w:t>
      </w:r>
      <w:r>
        <w:rPr>
          <w:rFonts w:hint="eastAsia" w:ascii="仿宋_GB2312" w:hAnsi="Calibri" w:eastAsia="仿宋_GB2312" w:cs="Times New Roman"/>
          <w:bCs/>
          <w:color w:val="auto"/>
          <w:kern w:val="2"/>
          <w:sz w:val="32"/>
          <w:szCs w:val="32"/>
          <w:lang w:val="en-US" w:eastAsia="zh-CN" w:bidi="ar-SA"/>
        </w:rPr>
        <w:t>开展脱贫攻坚兜底保障“回头看”，</w:t>
      </w:r>
      <w:r>
        <w:rPr>
          <w:rFonts w:hint="default" w:ascii="仿宋_GB2312" w:hAnsi="Calibri" w:eastAsia="仿宋_GB2312" w:cs="Times New Roman"/>
          <w:bCs/>
          <w:color w:val="auto"/>
          <w:kern w:val="2"/>
          <w:sz w:val="32"/>
          <w:szCs w:val="32"/>
          <w:lang w:val="en-US" w:eastAsia="zh-CN" w:bidi="ar-SA"/>
        </w:rPr>
        <w:t>建立完善低收入人口动态监测和常态化帮扶机制，确保“十四五”期间帮扶政策稳定</w:t>
      </w:r>
      <w:r>
        <w:rPr>
          <w:rFonts w:hint="eastAsia" w:ascii="仿宋_GB2312" w:hAnsi="Calibri" w:eastAsia="仿宋_GB2312" w:cs="Times New Roman"/>
          <w:bCs/>
          <w:color w:val="auto"/>
          <w:kern w:val="2"/>
          <w:sz w:val="32"/>
          <w:szCs w:val="32"/>
          <w:lang w:val="en-US" w:eastAsia="zh-CN" w:bidi="ar-SA"/>
        </w:rPr>
        <w:t>，全市</w:t>
      </w:r>
      <w:r>
        <w:rPr>
          <w:rFonts w:hint="default" w:ascii="仿宋_GB2312" w:hAnsi="Calibri" w:eastAsia="仿宋_GB2312" w:cs="Times New Roman"/>
          <w:bCs/>
          <w:color w:val="auto"/>
          <w:kern w:val="2"/>
          <w:sz w:val="32"/>
          <w:szCs w:val="32"/>
          <w:lang w:val="en-US" w:eastAsia="zh-CN" w:bidi="ar-SA"/>
        </w:rPr>
        <w:t>共有2</w:t>
      </w:r>
      <w:r>
        <w:rPr>
          <w:rFonts w:hint="eastAsia" w:ascii="仿宋_GB2312" w:hAnsi="Calibri" w:eastAsia="仿宋_GB2312" w:cs="Times New Roman"/>
          <w:bCs/>
          <w:color w:val="auto"/>
          <w:kern w:val="2"/>
          <w:sz w:val="32"/>
          <w:szCs w:val="32"/>
          <w:lang w:val="en-US" w:eastAsia="zh-CN" w:bidi="ar-SA"/>
        </w:rPr>
        <w:t>2</w:t>
      </w:r>
      <w:r>
        <w:rPr>
          <w:rFonts w:hint="default" w:ascii="仿宋_GB2312" w:hAnsi="Calibri" w:eastAsia="仿宋_GB2312" w:cs="Times New Roman"/>
          <w:bCs/>
          <w:color w:val="auto"/>
          <w:kern w:val="2"/>
          <w:sz w:val="32"/>
          <w:szCs w:val="32"/>
          <w:lang w:eastAsia="zh-CN" w:bidi="ar-SA"/>
        </w:rPr>
        <w:t>0</w:t>
      </w:r>
      <w:r>
        <w:rPr>
          <w:rFonts w:hint="default" w:ascii="仿宋_GB2312" w:hAnsi="Calibri" w:eastAsia="仿宋_GB2312" w:cs="Times New Roman"/>
          <w:bCs/>
          <w:color w:val="auto"/>
          <w:kern w:val="2"/>
          <w:sz w:val="32"/>
          <w:szCs w:val="32"/>
          <w:lang w:val="en-US" w:eastAsia="zh-CN" w:bidi="ar-SA"/>
        </w:rPr>
        <w:t>名脱贫人口享受低保“渐退期”政策。</w:t>
      </w:r>
    </w:p>
    <w:p>
      <w:pPr>
        <w:keepNext w:val="0"/>
        <w:keepLines w:val="0"/>
        <w:pageBreakBefore w:val="0"/>
        <w:widowControl w:val="0"/>
        <w:numPr>
          <w:ilvl w:val="0"/>
          <w:numId w:val="1"/>
        </w:numPr>
        <w:kinsoku/>
        <w:wordWrap/>
        <w:overflowPunct/>
        <w:topLinePunct w:val="0"/>
        <w:autoSpaceDE/>
        <w:autoSpaceDN/>
        <w:bidi w:val="0"/>
        <w:snapToGrid w:val="0"/>
        <w:spacing w:line="580" w:lineRule="exact"/>
        <w:ind w:left="-10" w:leftChars="0" w:firstLine="640" w:firstLineChars="0"/>
        <w:textAlignment w:val="baseline"/>
        <w:rPr>
          <w:rFonts w:hint="default" w:ascii="楷体_GB2312" w:hAnsi="楷体_GB2312" w:eastAsia="楷体_GB2312" w:cs="楷体_GB2312"/>
          <w:color w:val="auto"/>
          <w:kern w:val="2"/>
          <w:sz w:val="32"/>
          <w:szCs w:val="32"/>
          <w:lang w:val="en-US" w:eastAsia="zh-CN" w:bidi="ar-SA"/>
        </w:rPr>
      </w:pPr>
      <w:r>
        <w:rPr>
          <w:rFonts w:hint="eastAsia" w:ascii="楷体_GB2312" w:hAnsi="楷体_GB2312" w:eastAsia="楷体_GB2312" w:cs="楷体_GB2312"/>
          <w:color w:val="auto"/>
          <w:kern w:val="2"/>
          <w:sz w:val="32"/>
          <w:szCs w:val="32"/>
          <w:lang w:val="en-US" w:eastAsia="zh-CN" w:bidi="ar-SA"/>
        </w:rPr>
        <w:t>养老服务工作稳步发展</w:t>
      </w:r>
    </w:p>
    <w:p>
      <w:pPr>
        <w:keepNext w:val="0"/>
        <w:keepLines w:val="0"/>
        <w:pageBreakBefore w:val="0"/>
        <w:widowControl w:val="0"/>
        <w:numPr>
          <w:ilvl w:val="0"/>
          <w:numId w:val="0"/>
        </w:numPr>
        <w:kinsoku/>
        <w:wordWrap/>
        <w:overflowPunct/>
        <w:topLinePunct w:val="0"/>
        <w:autoSpaceDE/>
        <w:autoSpaceDN/>
        <w:bidi w:val="0"/>
        <w:snapToGrid w:val="0"/>
        <w:spacing w:line="580" w:lineRule="exact"/>
        <w:ind w:firstLine="643" w:firstLineChars="200"/>
        <w:textAlignment w:val="baseline"/>
        <w:rPr>
          <w:rFonts w:hint="default" w:ascii="仿宋_GB2312" w:hAnsi="Calibri" w:eastAsia="仿宋_GB2312" w:cs="Times New Roman"/>
          <w:bCs/>
          <w:color w:val="auto"/>
          <w:kern w:val="2"/>
          <w:sz w:val="32"/>
          <w:szCs w:val="32"/>
          <w:lang w:val="en-US" w:eastAsia="zh-CN" w:bidi="ar-SA"/>
        </w:rPr>
      </w:pPr>
      <w:r>
        <w:rPr>
          <w:rFonts w:hint="default" w:ascii="仿宋_GB2312" w:hAnsi="Calibri" w:eastAsia="仿宋_GB2312" w:cs="Times New Roman"/>
          <w:b/>
          <w:bCs w:val="0"/>
          <w:color w:val="auto"/>
          <w:kern w:val="2"/>
          <w:sz w:val="32"/>
          <w:szCs w:val="32"/>
          <w:lang w:val="en-US" w:eastAsia="zh-CN" w:bidi="ar-SA"/>
        </w:rPr>
        <w:t>智慧养老服务取得新突破</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在自治区率先建成并使用市级智慧养老服务平台，通过线上与线下相结合、实体与虚拟相融合，将居家、社区、机构等养老服务纳入平台统一管理，形成政务、服务、监管于一体的智慧养老服务体系。</w:t>
      </w:r>
      <w:r>
        <w:rPr>
          <w:rFonts w:hint="default" w:ascii="仿宋_GB2312" w:hAnsi="Calibri" w:eastAsia="仿宋_GB2312" w:cs="Times New Roman"/>
          <w:b/>
          <w:bCs w:val="0"/>
          <w:color w:val="auto"/>
          <w:kern w:val="2"/>
          <w:sz w:val="32"/>
          <w:szCs w:val="32"/>
          <w:lang w:val="en-US" w:eastAsia="zh-CN" w:bidi="ar-SA"/>
        </w:rPr>
        <w:t>居家养老服务供给更</w:t>
      </w:r>
      <w:r>
        <w:rPr>
          <w:rFonts w:hint="eastAsia" w:ascii="仿宋_GB2312" w:hAnsi="Calibri" w:eastAsia="仿宋_GB2312" w:cs="Times New Roman"/>
          <w:b/>
          <w:bCs w:val="0"/>
          <w:color w:val="auto"/>
          <w:kern w:val="2"/>
          <w:sz w:val="32"/>
          <w:szCs w:val="32"/>
          <w:lang w:val="en-US" w:eastAsia="zh-CN" w:bidi="ar-SA"/>
        </w:rPr>
        <w:t>加</w:t>
      </w:r>
      <w:r>
        <w:rPr>
          <w:rFonts w:hint="default" w:ascii="仿宋_GB2312" w:hAnsi="Calibri" w:eastAsia="仿宋_GB2312" w:cs="Times New Roman"/>
          <w:b/>
          <w:bCs w:val="0"/>
          <w:color w:val="auto"/>
          <w:kern w:val="2"/>
          <w:sz w:val="32"/>
          <w:szCs w:val="32"/>
          <w:lang w:val="en-US" w:eastAsia="zh-CN" w:bidi="ar-SA"/>
        </w:rPr>
        <w:t>丰富</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依托市智慧养老服务平台门户网站、手机App、有线电视、热线电话等载体，为居家老年人提供助餐、助浴等便捷高效精准的养老服务，打造了“一刻钟”居家养老服务圈。</w:t>
      </w:r>
      <w:r>
        <w:rPr>
          <w:rFonts w:hint="default" w:ascii="仿宋_GB2312" w:hAnsi="Calibri" w:eastAsia="仿宋_GB2312" w:cs="Times New Roman"/>
          <w:b/>
          <w:bCs w:val="0"/>
          <w:color w:val="auto"/>
          <w:kern w:val="2"/>
          <w:sz w:val="32"/>
          <w:szCs w:val="32"/>
          <w:lang w:val="en-US" w:eastAsia="zh-CN" w:bidi="ar-SA"/>
        </w:rPr>
        <w:t>社区养老服务不断优化</w:t>
      </w:r>
      <w:r>
        <w:rPr>
          <w:rFonts w:hint="eastAsia" w:ascii="仿宋_GB2312" w:hAnsi="Calibri" w:eastAsia="仿宋_GB2312" w:cs="Times New Roman"/>
          <w:b/>
          <w:bCs w:val="0"/>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按照街道综合养老服务中心和社区养老服务站衔接有序、功能互补的工作思路，</w:t>
      </w:r>
      <w:r>
        <w:rPr>
          <w:rFonts w:hint="eastAsia" w:ascii="仿宋_GB2312" w:hAnsi="Calibri" w:eastAsia="仿宋_GB2312" w:cs="Times New Roman"/>
          <w:bCs/>
          <w:color w:val="auto"/>
          <w:kern w:val="2"/>
          <w:sz w:val="32"/>
          <w:szCs w:val="32"/>
          <w:lang w:val="en-US" w:eastAsia="zh-CN" w:bidi="ar-SA"/>
        </w:rPr>
        <w:t>新建191</w:t>
      </w:r>
      <w:r>
        <w:rPr>
          <w:rFonts w:hint="default" w:ascii="仿宋_GB2312" w:hAnsi="Calibri" w:eastAsia="仿宋_GB2312" w:cs="Times New Roman"/>
          <w:bCs/>
          <w:color w:val="auto"/>
          <w:kern w:val="2"/>
          <w:sz w:val="32"/>
          <w:szCs w:val="32"/>
          <w:lang w:val="en-US" w:eastAsia="zh-CN" w:bidi="ar-SA"/>
        </w:rPr>
        <w:t>个居家社区养老服务站点，</w:t>
      </w:r>
      <w:r>
        <w:rPr>
          <w:rFonts w:hint="eastAsia" w:ascii="仿宋_GB2312" w:hAnsi="Calibri" w:eastAsia="仿宋_GB2312" w:cs="Times New Roman"/>
          <w:bCs/>
          <w:color w:val="auto"/>
          <w:kern w:val="2"/>
          <w:sz w:val="32"/>
          <w:szCs w:val="32"/>
          <w:lang w:val="en-US" w:eastAsia="zh-CN" w:bidi="ar-SA"/>
        </w:rPr>
        <w:t>全市居家社区养老服务</w:t>
      </w:r>
      <w:r>
        <w:rPr>
          <w:rFonts w:hint="default" w:ascii="仿宋_GB2312" w:hAnsi="Calibri" w:eastAsia="仿宋_GB2312" w:cs="Times New Roman"/>
          <w:bCs/>
          <w:color w:val="auto"/>
          <w:kern w:val="2"/>
          <w:sz w:val="32"/>
          <w:szCs w:val="32"/>
          <w:lang w:val="en-US" w:eastAsia="zh-CN" w:bidi="ar-SA"/>
        </w:rPr>
        <w:t>覆盖率达到69%，为居家社区老年人提供生活照料、康复护理、心理慰藉等服务。</w:t>
      </w:r>
      <w:r>
        <w:rPr>
          <w:rFonts w:hint="default" w:ascii="仿宋_GB2312" w:hAnsi="Calibri" w:eastAsia="仿宋_GB2312" w:cs="Times New Roman"/>
          <w:b/>
          <w:bCs w:val="0"/>
          <w:color w:val="auto"/>
          <w:kern w:val="2"/>
          <w:sz w:val="32"/>
          <w:szCs w:val="32"/>
          <w:lang w:val="en-US" w:eastAsia="zh-CN" w:bidi="ar-SA"/>
        </w:rPr>
        <w:t>机构养老服务质量进一步提升</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特困人员供养机构实施了提档升级改造，提升了特困人员的生活质量。推进民办养老机构标准化建设，不断提升服务质量，目前有6家养老机构制定实施养老服务企业标准。增加护理型床位的占比，护理型床位达到50%以上。</w:t>
      </w:r>
      <w:r>
        <w:rPr>
          <w:rFonts w:hint="default" w:ascii="仿宋_GB2312" w:hAnsi="Calibri" w:eastAsia="仿宋_GB2312" w:cs="Times New Roman"/>
          <w:b/>
          <w:bCs w:val="0"/>
          <w:color w:val="auto"/>
          <w:kern w:val="2"/>
          <w:sz w:val="32"/>
          <w:szCs w:val="32"/>
          <w:lang w:val="en-US" w:eastAsia="zh-CN" w:bidi="ar-SA"/>
        </w:rPr>
        <w:t>助力解决老年人意外伤害后顾之忧</w:t>
      </w:r>
      <w:r>
        <w:rPr>
          <w:rFonts w:hint="default" w:ascii="仿宋_GB2312" w:hAnsi="Calibri" w:eastAsia="仿宋_GB2312" w:cs="Times New Roman"/>
          <w:bCs/>
          <w:color w:val="auto"/>
          <w:kern w:val="2"/>
          <w:sz w:val="32"/>
          <w:szCs w:val="32"/>
          <w:lang w:val="en-US" w:eastAsia="zh-CN" w:bidi="ar-SA"/>
        </w:rPr>
        <w:t>，筹资710万元为我市</w:t>
      </w:r>
      <w:r>
        <w:rPr>
          <w:rFonts w:hint="eastAsia" w:ascii="仿宋_GB2312" w:hAnsi="Calibri" w:eastAsia="仿宋_GB2312" w:cs="Times New Roman"/>
          <w:bCs/>
          <w:color w:val="auto"/>
          <w:kern w:val="2"/>
          <w:sz w:val="32"/>
          <w:szCs w:val="32"/>
          <w:lang w:val="en-US" w:eastAsia="zh-CN" w:bidi="ar-SA"/>
        </w:rPr>
        <w:t>近</w:t>
      </w:r>
      <w:r>
        <w:rPr>
          <w:rFonts w:hint="default" w:ascii="仿宋_GB2312" w:hAnsi="Calibri" w:eastAsia="仿宋_GB2312" w:cs="Times New Roman"/>
          <w:bCs/>
          <w:color w:val="auto"/>
          <w:kern w:val="2"/>
          <w:sz w:val="32"/>
          <w:szCs w:val="32"/>
          <w:lang w:val="en-US" w:eastAsia="zh-CN" w:bidi="ar-SA"/>
        </w:rPr>
        <w:t>54万60周岁以上老年人免费办理意外伤害保险，为老年人送上一份健康保障。</w:t>
      </w:r>
      <w:r>
        <w:rPr>
          <w:rFonts w:hint="default" w:ascii="仿宋_GB2312" w:hAnsi="Calibri" w:eastAsia="仿宋_GB2312" w:cs="Times New Roman"/>
          <w:b/>
          <w:bCs w:val="0"/>
          <w:color w:val="auto"/>
          <w:kern w:val="2"/>
          <w:sz w:val="32"/>
          <w:szCs w:val="32"/>
          <w:lang w:val="en-US" w:eastAsia="zh-CN" w:bidi="ar-SA"/>
        </w:rPr>
        <w:t>招商引资卓有成效</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引进青岛鼎邦投资有限责任公司与市住建集团在我市合资注册了内蒙古助健老龄产业开发集团有限公司，注册资金为1亿元，投资建设市民政福利园区二、三期工程。引进了江苏悦心、沈阳奉亲等品牌养老服务企业运营居家社区养老服务站点，赴重庆与中国企业500强第249名的迪马“常青社”达成初步合作意向，运营市级康养中心，为我市新一轮发展和竞争注入养老产业活力。</w:t>
      </w:r>
    </w:p>
    <w:p>
      <w:pPr>
        <w:keepNext w:val="0"/>
        <w:keepLines w:val="0"/>
        <w:pageBreakBefore w:val="0"/>
        <w:widowControl w:val="0"/>
        <w:numPr>
          <w:ilvl w:val="0"/>
          <w:numId w:val="1"/>
        </w:numPr>
        <w:kinsoku/>
        <w:wordWrap/>
        <w:overflowPunct/>
        <w:topLinePunct w:val="0"/>
        <w:autoSpaceDE/>
        <w:autoSpaceDN/>
        <w:bidi w:val="0"/>
        <w:snapToGrid w:val="0"/>
        <w:spacing w:line="580" w:lineRule="exact"/>
        <w:ind w:left="-10" w:leftChars="0" w:firstLine="640" w:firstLineChars="0"/>
        <w:textAlignment w:val="baseline"/>
        <w:rPr>
          <w:rFonts w:hint="default" w:ascii="楷体_GB2312" w:hAnsi="楷体_GB2312" w:eastAsia="楷体_GB2312" w:cs="楷体_GB2312"/>
          <w:color w:val="auto"/>
          <w:kern w:val="2"/>
          <w:sz w:val="32"/>
          <w:szCs w:val="32"/>
          <w:lang w:val="en-US" w:eastAsia="zh-CN" w:bidi="ar-SA"/>
        </w:rPr>
      </w:pPr>
      <w:r>
        <w:rPr>
          <w:rFonts w:hint="eastAsia" w:ascii="楷体_GB2312" w:hAnsi="楷体_GB2312" w:eastAsia="楷体_GB2312" w:cs="楷体_GB2312"/>
          <w:color w:val="auto"/>
          <w:kern w:val="2"/>
          <w:sz w:val="32"/>
          <w:szCs w:val="32"/>
          <w:lang w:val="en-US" w:eastAsia="zh-CN" w:bidi="ar-SA"/>
        </w:rPr>
        <w:t>基层社会治理工作成效明显</w:t>
      </w:r>
    </w:p>
    <w:p>
      <w:pPr>
        <w:keepNext w:val="0"/>
        <w:keepLines w:val="0"/>
        <w:pageBreakBefore w:val="0"/>
        <w:widowControl w:val="0"/>
        <w:kinsoku/>
        <w:wordWrap/>
        <w:overflowPunct/>
        <w:topLinePunct w:val="0"/>
        <w:autoSpaceDE/>
        <w:autoSpaceDN/>
        <w:bidi w:val="0"/>
        <w:snapToGrid w:val="0"/>
        <w:spacing w:line="580" w:lineRule="exact"/>
        <w:ind w:firstLine="645"/>
        <w:textAlignment w:val="baseline"/>
        <w:rPr>
          <w:rFonts w:hint="default"/>
          <w:color w:val="auto"/>
          <w:lang w:val="en-US" w:eastAsia="zh-CN"/>
        </w:rPr>
      </w:pPr>
      <w:r>
        <w:rPr>
          <w:rFonts w:hint="eastAsia" w:ascii="仿宋_GB2312" w:hAnsi="Calibri" w:eastAsia="仿宋_GB2312" w:cs="Times New Roman"/>
          <w:b/>
          <w:bCs w:val="0"/>
          <w:color w:val="auto"/>
          <w:kern w:val="2"/>
          <w:sz w:val="32"/>
          <w:szCs w:val="32"/>
          <w:lang w:val="en-US" w:eastAsia="zh-CN" w:bidi="ar-SA"/>
        </w:rPr>
        <w:t>高质量</w:t>
      </w:r>
      <w:r>
        <w:rPr>
          <w:rFonts w:hint="default" w:ascii="仿宋_GB2312" w:hAnsi="Calibri" w:eastAsia="仿宋_GB2312" w:cs="Times New Roman"/>
          <w:b/>
          <w:bCs w:val="0"/>
          <w:color w:val="auto"/>
          <w:kern w:val="2"/>
          <w:sz w:val="32"/>
          <w:szCs w:val="32"/>
          <w:lang w:val="en-US" w:eastAsia="zh-CN" w:bidi="ar-SA"/>
        </w:rPr>
        <w:t>完成第十一届嘎查村（居）委员会换届选举</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配合市委组织部，</w:t>
      </w:r>
      <w:r>
        <w:rPr>
          <w:rFonts w:hint="eastAsia" w:ascii="仿宋_GB2312" w:hAnsi="Calibri" w:eastAsia="仿宋_GB2312" w:cs="Times New Roman"/>
          <w:bCs/>
          <w:color w:val="auto"/>
          <w:kern w:val="2"/>
          <w:sz w:val="32"/>
          <w:szCs w:val="32"/>
          <w:lang w:val="en-US" w:eastAsia="zh-CN" w:bidi="ar-SA"/>
        </w:rPr>
        <w:t>完成全市805个嘎查村（社区）的换届选举工作，对</w:t>
      </w:r>
      <w:r>
        <w:rPr>
          <w:rFonts w:hint="default" w:ascii="仿宋_GB2312" w:hAnsi="Calibri" w:eastAsia="仿宋_GB2312" w:cs="Times New Roman"/>
          <w:bCs/>
          <w:color w:val="auto"/>
          <w:kern w:val="2"/>
          <w:sz w:val="32"/>
          <w:szCs w:val="32"/>
          <w:lang w:val="en-US" w:eastAsia="zh-CN" w:bidi="ar-SA"/>
        </w:rPr>
        <w:t>新</w:t>
      </w:r>
      <w:r>
        <w:rPr>
          <w:rFonts w:hint="eastAsia" w:ascii="仿宋_GB2312" w:hAnsi="Calibri" w:eastAsia="仿宋_GB2312" w:cs="Times New Roman"/>
          <w:bCs/>
          <w:color w:val="auto"/>
          <w:kern w:val="2"/>
          <w:sz w:val="32"/>
          <w:szCs w:val="32"/>
          <w:lang w:val="en-US" w:eastAsia="zh-CN" w:bidi="ar-SA"/>
        </w:rPr>
        <w:t>当选</w:t>
      </w:r>
      <w:r>
        <w:rPr>
          <w:rFonts w:hint="default" w:ascii="仿宋_GB2312" w:hAnsi="Calibri" w:eastAsia="仿宋_GB2312" w:cs="Times New Roman"/>
          <w:bCs/>
          <w:color w:val="auto"/>
          <w:kern w:val="2"/>
          <w:sz w:val="32"/>
          <w:szCs w:val="32"/>
          <w:lang w:val="en-US" w:eastAsia="zh-CN" w:bidi="ar-SA"/>
        </w:rPr>
        <w:t>的嘎查村（社区）主任进行集中轮训，为嘎查村（社区）干部队伍建设奠定了良好基础。</w:t>
      </w:r>
      <w:r>
        <w:rPr>
          <w:rFonts w:hint="eastAsia" w:ascii="仿宋_GB2312" w:hAnsi="Calibri" w:eastAsia="仿宋_GB2312" w:cs="Times New Roman"/>
          <w:b/>
          <w:bCs w:val="0"/>
          <w:color w:val="auto"/>
          <w:kern w:val="2"/>
          <w:sz w:val="32"/>
          <w:szCs w:val="32"/>
          <w:lang w:val="en-US" w:eastAsia="zh-CN" w:bidi="ar-SA"/>
        </w:rPr>
        <w:t>社区服务水平</w:t>
      </w:r>
      <w:r>
        <w:rPr>
          <w:rFonts w:hint="default" w:ascii="仿宋_GB2312" w:hAnsi="Calibri" w:eastAsia="仿宋_GB2312" w:cs="Times New Roman"/>
          <w:b/>
          <w:bCs w:val="0"/>
          <w:color w:val="auto"/>
          <w:kern w:val="2"/>
          <w:sz w:val="32"/>
          <w:szCs w:val="32"/>
          <w:lang w:val="en-US" w:eastAsia="zh-CN" w:bidi="ar-SA"/>
        </w:rPr>
        <w:t>不断</w:t>
      </w:r>
      <w:r>
        <w:rPr>
          <w:rFonts w:hint="eastAsia" w:ascii="仿宋_GB2312" w:hAnsi="Calibri" w:eastAsia="仿宋_GB2312" w:cs="Times New Roman"/>
          <w:b/>
          <w:bCs w:val="0"/>
          <w:color w:val="auto"/>
          <w:kern w:val="2"/>
          <w:sz w:val="32"/>
          <w:szCs w:val="32"/>
          <w:lang w:val="en-US" w:eastAsia="zh-CN" w:bidi="ar-SA"/>
        </w:rPr>
        <w:t>提升，</w:t>
      </w:r>
      <w:r>
        <w:rPr>
          <w:rFonts w:hint="default" w:ascii="仿宋_GB2312" w:hAnsi="Calibri" w:eastAsia="仿宋_GB2312" w:cs="Times New Roman"/>
          <w:bCs/>
          <w:color w:val="auto"/>
          <w:kern w:val="2"/>
          <w:sz w:val="32"/>
          <w:szCs w:val="32"/>
          <w:lang w:val="en-US" w:eastAsia="zh-CN" w:bidi="ar-SA"/>
        </w:rPr>
        <w:t>印发了《关于进一步提升社区服务水平的实施方案》《关于推进市域社会治理试点工作任务的通知》</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深入开展“社区万能章”治理专项行动，加大联合督导力度，推动社区减负增效。</w:t>
      </w:r>
      <w:r>
        <w:rPr>
          <w:rFonts w:hint="default" w:ascii="仿宋_GB2312" w:hAnsi="Calibri" w:eastAsia="仿宋_GB2312" w:cs="Times New Roman"/>
          <w:b/>
          <w:bCs w:val="0"/>
          <w:color w:val="auto"/>
          <w:kern w:val="2"/>
          <w:sz w:val="32"/>
          <w:szCs w:val="32"/>
          <w:lang w:val="en-US" w:eastAsia="zh-CN" w:bidi="ar-SA"/>
        </w:rPr>
        <w:t>社区工作者薪酬职业体系建设</w:t>
      </w:r>
      <w:r>
        <w:rPr>
          <w:rFonts w:hint="eastAsia" w:ascii="仿宋_GB2312" w:hAnsi="Calibri" w:eastAsia="仿宋_GB2312" w:cs="Times New Roman"/>
          <w:b/>
          <w:bCs w:val="0"/>
          <w:color w:val="auto"/>
          <w:kern w:val="2"/>
          <w:sz w:val="32"/>
          <w:szCs w:val="32"/>
          <w:lang w:val="en-US" w:eastAsia="zh-CN" w:bidi="ar-SA"/>
        </w:rPr>
        <w:t>进一步加强</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 w:val="0"/>
          <w:bCs/>
          <w:color w:val="auto"/>
          <w:kern w:val="2"/>
          <w:sz w:val="32"/>
          <w:szCs w:val="32"/>
          <w:lang w:val="en-US" w:eastAsia="zh-CN" w:bidi="ar-SA"/>
        </w:rPr>
        <w:t>落实社区工作者管理办法</w:t>
      </w:r>
      <w:r>
        <w:rPr>
          <w:rFonts w:hint="eastAsia" w:ascii="仿宋_GB2312" w:hAnsi="Calibri" w:eastAsia="仿宋_GB2312" w:cs="Times New Roman"/>
          <w:b w:val="0"/>
          <w:bCs/>
          <w:color w:val="auto"/>
          <w:kern w:val="2"/>
          <w:sz w:val="32"/>
          <w:szCs w:val="32"/>
          <w:lang w:val="en-US" w:eastAsia="zh-CN" w:bidi="ar-SA"/>
        </w:rPr>
        <w:t>，为全市2800余名社区工作者落实薪酬职业体系套转，</w:t>
      </w:r>
      <w:r>
        <w:rPr>
          <w:rFonts w:hint="eastAsia" w:ascii="仿宋_GB2312" w:hAnsi="Calibri" w:eastAsia="仿宋_GB2312" w:cs="Times New Roman"/>
          <w:bCs/>
          <w:color w:val="auto"/>
          <w:kern w:val="2"/>
          <w:sz w:val="32"/>
          <w:szCs w:val="32"/>
          <w:lang w:val="en-US" w:eastAsia="zh-CN" w:bidi="ar-SA"/>
        </w:rPr>
        <w:t>待遇得到大幅提升，切实增强了基层社区的吸引力，为打造一支相对稳定、高效服务的社区工作者队伍奠定了扎实的基础</w:t>
      </w:r>
      <w:r>
        <w:rPr>
          <w:rFonts w:hint="default" w:ascii="仿宋_GB2312" w:hAnsi="Calibri" w:eastAsia="仿宋_GB2312" w:cs="Times New Roman"/>
          <w:bCs/>
          <w:color w:val="auto"/>
          <w:kern w:val="2"/>
          <w:sz w:val="32"/>
          <w:szCs w:val="32"/>
          <w:lang w:val="en-US" w:eastAsia="zh-CN" w:bidi="ar-SA"/>
        </w:rPr>
        <w:t>。</w:t>
      </w:r>
      <w:r>
        <w:rPr>
          <w:rFonts w:hint="eastAsia" w:ascii="仿宋_GB2312" w:hAnsi="Calibri" w:eastAsia="仿宋_GB2312" w:cs="Times New Roman"/>
          <w:b/>
          <w:bCs w:val="0"/>
          <w:color w:val="auto"/>
          <w:kern w:val="2"/>
          <w:sz w:val="32"/>
          <w:szCs w:val="32"/>
          <w:lang w:val="en-US" w:eastAsia="zh-CN" w:bidi="ar-SA"/>
        </w:rPr>
        <w:t>社会组织管理更加有力</w:t>
      </w:r>
      <w:r>
        <w:rPr>
          <w:rFonts w:hint="eastAsia" w:ascii="仿宋_GB2312" w:hAnsi="Calibri" w:eastAsia="仿宋_GB2312" w:cs="Times New Roman"/>
          <w:bCs/>
          <w:color w:val="auto"/>
          <w:kern w:val="2"/>
          <w:sz w:val="32"/>
          <w:szCs w:val="32"/>
          <w:lang w:val="en-US" w:eastAsia="zh-CN" w:bidi="ar-SA"/>
        </w:rPr>
        <w:t>，成立中共包头市社会组织委员会，进一步理顺社会组织党建管理体制。牵头组织41个市直部门建立了社会组织管理工作局际联席会议制度，并召开第一次全体会议，审议通过了《包头市社会组织管理工作局际联席会议工作规则》。完成170家社会组织等级评估工作。加大社会组织培育扶持力度，包头银行业协会被国家民政部公示为第四次“全国先进社会组织”。</w:t>
      </w:r>
      <w:r>
        <w:rPr>
          <w:rFonts w:hint="eastAsia" w:ascii="仿宋_GB2312" w:hAnsi="Calibri" w:eastAsia="仿宋_GB2312" w:cs="Times New Roman"/>
          <w:b/>
          <w:bCs w:val="0"/>
          <w:color w:val="auto"/>
          <w:kern w:val="2"/>
          <w:sz w:val="32"/>
          <w:szCs w:val="32"/>
          <w:lang w:val="en-US" w:eastAsia="zh-CN" w:bidi="ar-SA"/>
        </w:rPr>
        <w:t>开展了全市第二届“五社联动”公益创投大赛</w:t>
      </w:r>
      <w:r>
        <w:rPr>
          <w:rFonts w:hint="eastAsia" w:ascii="仿宋_GB2312" w:hAnsi="Calibri" w:eastAsia="仿宋_GB2312" w:cs="Times New Roman"/>
          <w:bCs/>
          <w:color w:val="auto"/>
          <w:kern w:val="2"/>
          <w:sz w:val="32"/>
          <w:szCs w:val="32"/>
          <w:lang w:val="en-US" w:eastAsia="zh-CN" w:bidi="ar-SA"/>
        </w:rPr>
        <w:t>，联合市委组织部、市慈善总会等单位落实80万元资金，探索“跨界合作”的方式解决社会治理和服务问题。</w:t>
      </w:r>
      <w:r>
        <w:rPr>
          <w:rFonts w:hint="eastAsia" w:ascii="仿宋_GB2312" w:hAnsi="Calibri" w:eastAsia="仿宋_GB2312" w:cs="Times New Roman"/>
          <w:b/>
          <w:bCs w:val="0"/>
          <w:color w:val="auto"/>
          <w:kern w:val="2"/>
          <w:sz w:val="32"/>
          <w:szCs w:val="32"/>
          <w:lang w:val="en-US" w:eastAsia="zh-CN" w:bidi="ar-SA"/>
        </w:rPr>
        <w:t>福利彩票销售逆势增长</w:t>
      </w:r>
      <w:r>
        <w:rPr>
          <w:rFonts w:hint="eastAsia" w:ascii="仿宋_GB2312" w:hAnsi="Calibri" w:eastAsia="仿宋_GB2312" w:cs="Times New Roman"/>
          <w:bCs/>
          <w:color w:val="auto"/>
          <w:kern w:val="2"/>
          <w:sz w:val="32"/>
          <w:szCs w:val="32"/>
          <w:lang w:val="en-US" w:eastAsia="zh-CN" w:bidi="ar-SA"/>
        </w:rPr>
        <w:t>，在全区福彩销售整体大幅下滑的背景下，福彩销售超过3亿元，比去年同期增长5.35%。</w:t>
      </w:r>
      <w:r>
        <w:rPr>
          <w:rFonts w:hint="eastAsia" w:ascii="仿宋_GB2312" w:hAnsi="Calibri" w:eastAsia="仿宋_GB2312" w:cs="Times New Roman"/>
          <w:b/>
          <w:bCs w:val="0"/>
          <w:color w:val="auto"/>
          <w:sz w:val="32"/>
          <w:szCs w:val="32"/>
          <w:lang w:eastAsia="zh-CN"/>
        </w:rPr>
        <w:t>发挥慈善积极作用</w:t>
      </w:r>
      <w:r>
        <w:rPr>
          <w:rFonts w:hint="eastAsia" w:ascii="仿宋_GB2312" w:hAnsi="Calibri" w:eastAsia="仿宋_GB2312" w:cs="Times New Roman"/>
          <w:bCs/>
          <w:color w:val="auto"/>
          <w:sz w:val="32"/>
          <w:szCs w:val="32"/>
          <w:lang w:eastAsia="zh-CN"/>
        </w:rPr>
        <w:t>，通过福彩慈善助学活动、健齿行、健行天下救助项目、脑瘫及自闭症儿童康复项目、“万企兴万村”活动等各类社会公益活动，帮助贫困患者等各类人群</w:t>
      </w:r>
      <w:r>
        <w:rPr>
          <w:rFonts w:hint="eastAsia" w:ascii="仿宋_GB2312" w:hAnsi="Calibri" w:eastAsia="仿宋_GB2312" w:cs="Times New Roman"/>
          <w:bCs/>
          <w:color w:val="auto"/>
          <w:sz w:val="32"/>
          <w:szCs w:val="32"/>
          <w:lang w:val="en-US" w:eastAsia="zh-CN"/>
        </w:rPr>
        <w:t>500余名</w:t>
      </w:r>
      <w:r>
        <w:rPr>
          <w:rFonts w:hint="eastAsia" w:ascii="仿宋_GB2312" w:hAnsi="Calibri" w:eastAsia="仿宋_GB2312" w:cs="Times New Roman"/>
          <w:bCs/>
          <w:color w:val="auto"/>
          <w:sz w:val="32"/>
          <w:szCs w:val="32"/>
          <w:lang w:eastAsia="zh-CN"/>
        </w:rPr>
        <w:t>，累计捐款10余次，金额达156.3万元。</w:t>
      </w:r>
    </w:p>
    <w:p>
      <w:pPr>
        <w:keepNext w:val="0"/>
        <w:keepLines w:val="0"/>
        <w:pageBreakBefore w:val="0"/>
        <w:widowControl w:val="0"/>
        <w:numPr>
          <w:ilvl w:val="0"/>
          <w:numId w:val="1"/>
        </w:numPr>
        <w:kinsoku/>
        <w:wordWrap/>
        <w:overflowPunct/>
        <w:topLinePunct w:val="0"/>
        <w:autoSpaceDE/>
        <w:autoSpaceDN/>
        <w:bidi w:val="0"/>
        <w:snapToGrid w:val="0"/>
        <w:spacing w:line="580" w:lineRule="exact"/>
        <w:ind w:left="-10" w:leftChars="0" w:firstLine="640" w:firstLineChars="0"/>
        <w:textAlignment w:val="baseline"/>
        <w:rPr>
          <w:rFonts w:hint="default" w:ascii="楷体_GB2312" w:hAnsi="楷体_GB2312" w:eastAsia="楷体_GB2312" w:cs="楷体_GB2312"/>
          <w:color w:val="auto"/>
          <w:kern w:val="2"/>
          <w:sz w:val="32"/>
          <w:szCs w:val="32"/>
          <w:lang w:val="en-US" w:eastAsia="zh-CN" w:bidi="ar-SA"/>
        </w:rPr>
      </w:pPr>
      <w:r>
        <w:rPr>
          <w:rFonts w:hint="default" w:ascii="楷体_GB2312" w:hAnsi="楷体_GB2312" w:eastAsia="楷体_GB2312" w:cs="楷体_GB2312"/>
          <w:color w:val="auto"/>
          <w:kern w:val="2"/>
          <w:sz w:val="32"/>
          <w:szCs w:val="32"/>
          <w:lang w:val="en-US" w:eastAsia="zh-CN" w:bidi="ar-SA"/>
        </w:rPr>
        <w:t>儿童</w:t>
      </w:r>
      <w:r>
        <w:rPr>
          <w:rFonts w:hint="eastAsia" w:ascii="楷体_GB2312" w:hAnsi="楷体_GB2312" w:eastAsia="楷体_GB2312" w:cs="楷体_GB2312"/>
          <w:color w:val="auto"/>
          <w:kern w:val="2"/>
          <w:sz w:val="32"/>
          <w:szCs w:val="32"/>
          <w:lang w:val="en-US" w:eastAsia="zh-CN" w:bidi="ar-SA"/>
        </w:rPr>
        <w:t>福利和未成年人保护工作水平</w:t>
      </w:r>
      <w:r>
        <w:rPr>
          <w:rFonts w:hint="default" w:ascii="楷体_GB2312" w:hAnsi="楷体_GB2312" w:eastAsia="楷体_GB2312" w:cs="楷体_GB2312"/>
          <w:color w:val="auto"/>
          <w:kern w:val="2"/>
          <w:sz w:val="32"/>
          <w:szCs w:val="32"/>
          <w:lang w:val="en-US" w:eastAsia="zh-CN" w:bidi="ar-SA"/>
        </w:rPr>
        <w:t>不断提升</w:t>
      </w:r>
    </w:p>
    <w:p>
      <w:pPr>
        <w:pStyle w:val="5"/>
        <w:keepNext w:val="0"/>
        <w:keepLines w:val="0"/>
        <w:pageBreakBefore w:val="0"/>
        <w:widowControl/>
        <w:suppressLineNumbers w:val="0"/>
        <w:shd w:val="clear" w:fill="FFFFFF"/>
        <w:kinsoku/>
        <w:wordWrap/>
        <w:overflowPunct/>
        <w:topLinePunct w:val="0"/>
        <w:autoSpaceDE w:val="0"/>
        <w:autoSpaceDN/>
        <w:bidi w:val="0"/>
        <w:spacing w:before="0" w:beforeAutospacing="0" w:after="0" w:afterAutospacing="0" w:line="580" w:lineRule="exact"/>
        <w:ind w:left="0" w:right="0" w:rightChars="0" w:firstLine="643" w:firstLineChars="200"/>
        <w:jc w:val="left"/>
        <w:rPr>
          <w:rFonts w:hint="default" w:ascii="楷体_GB2312" w:hAnsi="楷体_GB2312" w:eastAsia="楷体_GB2312" w:cs="楷体_GB2312"/>
          <w:color w:val="auto"/>
          <w:kern w:val="2"/>
          <w:sz w:val="32"/>
          <w:szCs w:val="32"/>
          <w:lang w:eastAsia="zh-CN" w:bidi="ar-SA"/>
        </w:rPr>
      </w:pPr>
      <w:r>
        <w:rPr>
          <w:rFonts w:hint="eastAsia" w:ascii="仿宋_GB2312" w:hAnsi="Calibri" w:eastAsia="仿宋_GB2312" w:cs="Times New Roman"/>
          <w:b/>
          <w:bCs w:val="0"/>
          <w:color w:val="auto"/>
          <w:kern w:val="2"/>
          <w:sz w:val="32"/>
          <w:szCs w:val="32"/>
          <w:u w:val="none"/>
          <w:lang w:val="en-US" w:eastAsia="zh-CN" w:bidi="ar-SA"/>
        </w:rPr>
        <w:t>扎实开展</w:t>
      </w:r>
      <w:r>
        <w:rPr>
          <w:rFonts w:hint="eastAsia" w:ascii="仿宋_GB2312" w:hAnsi="Calibri" w:eastAsia="仿宋_GB2312" w:cs="Times New Roman"/>
          <w:b/>
          <w:bCs w:val="0"/>
          <w:color w:val="auto"/>
          <w:kern w:val="2"/>
          <w:sz w:val="32"/>
          <w:szCs w:val="32"/>
          <w:u w:val="none"/>
          <w:lang w:val="en-US" w:eastAsia="zh-CN" w:bidi="ar-SA"/>
        </w:rPr>
        <w:fldChar w:fldCharType="begin"/>
      </w:r>
      <w:r>
        <w:rPr>
          <w:rFonts w:hint="eastAsia" w:ascii="仿宋_GB2312" w:hAnsi="Calibri" w:eastAsia="仿宋_GB2312" w:cs="Times New Roman"/>
          <w:b/>
          <w:bCs w:val="0"/>
          <w:color w:val="auto"/>
          <w:kern w:val="2"/>
          <w:sz w:val="32"/>
          <w:szCs w:val="32"/>
          <w:u w:val="none"/>
          <w:lang w:val="en-US" w:eastAsia="zh-CN" w:bidi="ar-SA"/>
        </w:rPr>
        <w:instrText xml:space="preserve"> HYPERLINK "http://www.baidu.com/link?url=64SI14hMaJ64y6ZEmmnnxTDFLskeNR6mzEyedeQ74TJlce_l6I1U22d4aQA50yif-ivRJ-1Sauc86iEtgxCiI7zJ9PGVWVXj03FKp3g0RIe" \t "https://www.baidu.com/_blank" </w:instrText>
      </w:r>
      <w:r>
        <w:rPr>
          <w:rFonts w:hint="eastAsia" w:ascii="仿宋_GB2312" w:hAnsi="Calibri" w:eastAsia="仿宋_GB2312" w:cs="Times New Roman"/>
          <w:b/>
          <w:bCs w:val="0"/>
          <w:color w:val="auto"/>
          <w:kern w:val="2"/>
          <w:sz w:val="32"/>
          <w:szCs w:val="32"/>
          <w:u w:val="none"/>
          <w:lang w:val="en-US" w:eastAsia="zh-CN" w:bidi="ar-SA"/>
        </w:rPr>
        <w:fldChar w:fldCharType="separate"/>
      </w:r>
      <w:r>
        <w:rPr>
          <w:rFonts w:hint="eastAsia" w:ascii="仿宋_GB2312" w:hAnsi="Calibri" w:eastAsia="仿宋_GB2312" w:cs="Times New Roman"/>
          <w:b/>
          <w:bCs w:val="0"/>
          <w:color w:val="auto"/>
          <w:kern w:val="2"/>
          <w:sz w:val="32"/>
          <w:szCs w:val="32"/>
          <w:u w:val="none"/>
          <w:lang w:val="en-US" w:eastAsia="zh-CN" w:bidi="ar-SA"/>
        </w:rPr>
        <w:t>未成年人保护工作</w:t>
      </w:r>
      <w:r>
        <w:rPr>
          <w:rFonts w:hint="eastAsia" w:ascii="仿宋_GB2312" w:hAnsi="Calibri" w:eastAsia="仿宋_GB2312" w:cs="Times New Roman"/>
          <w:b/>
          <w:bCs w:val="0"/>
          <w:color w:val="auto"/>
          <w:kern w:val="2"/>
          <w:sz w:val="32"/>
          <w:szCs w:val="32"/>
          <w:u w:val="none"/>
          <w:lang w:val="en-US" w:eastAsia="zh-CN" w:bidi="ar-SA"/>
        </w:rPr>
        <w:fldChar w:fldCharType="end"/>
      </w:r>
      <w:r>
        <w:rPr>
          <w:rFonts w:hint="default" w:ascii="仿宋_GB2312" w:hAnsi="Calibri" w:eastAsia="仿宋_GB2312" w:cs="Times New Roman"/>
          <w:b/>
          <w:bCs w:val="0"/>
          <w:color w:val="auto"/>
          <w:kern w:val="2"/>
          <w:sz w:val="32"/>
          <w:szCs w:val="32"/>
          <w:u w:val="none"/>
          <w:lang w:val="en-US" w:eastAsia="zh-CN" w:bidi="ar-SA"/>
        </w:rPr>
        <w:t>，</w:t>
      </w:r>
      <w:r>
        <w:rPr>
          <w:rFonts w:hint="default" w:ascii="仿宋_GB2312" w:hAnsi="Calibri" w:eastAsia="仿宋_GB2312" w:cs="Times New Roman"/>
          <w:bCs/>
          <w:color w:val="auto"/>
          <w:kern w:val="2"/>
          <w:sz w:val="32"/>
          <w:szCs w:val="32"/>
          <w:lang w:val="en-US" w:eastAsia="zh-CN" w:bidi="ar-SA"/>
        </w:rPr>
        <w:t>市及各旗县区均成立了未成年人保护工作领导小组，实现未成年人保护工作领导协调机制全覆盖，召开了市未保工作领导小组第一次全体会议。</w:t>
      </w:r>
      <w:r>
        <w:rPr>
          <w:rFonts w:hint="default" w:ascii="仿宋_GB2312" w:hAnsi="Calibri" w:eastAsia="仿宋_GB2312" w:cs="仿宋_GB2312"/>
          <w:color w:val="auto"/>
          <w:kern w:val="2"/>
          <w:sz w:val="32"/>
          <w:szCs w:val="32"/>
          <w:lang w:val="en-US" w:eastAsia="zh-CN" w:bidi="ar"/>
        </w:rPr>
        <w:t>2021年</w:t>
      </w:r>
      <w:r>
        <w:rPr>
          <w:rFonts w:hint="eastAsia" w:ascii="仿宋_GB2312" w:hAnsi="Calibri" w:eastAsia="仿宋_GB2312" w:cs="仿宋_GB2312"/>
          <w:color w:val="auto"/>
          <w:kern w:val="2"/>
          <w:sz w:val="32"/>
          <w:szCs w:val="32"/>
          <w:lang w:val="en-US" w:eastAsia="zh-CN" w:bidi="ar"/>
        </w:rPr>
        <w:t>，共</w:t>
      </w:r>
      <w:r>
        <w:rPr>
          <w:rFonts w:hint="default" w:ascii="仿宋_GB2312" w:hAnsi="Calibri" w:eastAsia="仿宋_GB2312" w:cs="仿宋_GB2312"/>
          <w:color w:val="auto"/>
          <w:kern w:val="2"/>
          <w:sz w:val="32"/>
          <w:szCs w:val="32"/>
          <w:lang w:val="en-US" w:eastAsia="zh-CN" w:bidi="ar"/>
        </w:rPr>
        <w:t>救助未成年人23名，护送返乡7人，对7名监护责任缺失儿童予以临时监护，</w:t>
      </w:r>
      <w:r>
        <w:rPr>
          <w:rFonts w:hint="default" w:ascii="仿宋_GB2312" w:hAnsi="Calibri" w:eastAsia="仿宋_GB2312" w:cs="Times New Roman"/>
          <w:bCs/>
          <w:color w:val="auto"/>
          <w:kern w:val="2"/>
          <w:sz w:val="32"/>
          <w:szCs w:val="32"/>
          <w:lang w:val="en-US" w:eastAsia="zh-CN" w:bidi="ar-SA"/>
        </w:rPr>
        <w:t>实施的“爱从这里起航”、“困境儿童1＋1＋1”精准结对帮扶等未成年人关爱保护“十心工程”</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先后被《中国社会报》《中国儿童福利》宣传报导。</w:t>
      </w:r>
      <w:r>
        <w:rPr>
          <w:rFonts w:hint="default" w:ascii="仿宋_GB2312" w:hAnsi="Calibri" w:eastAsia="仿宋_GB2312" w:cs="Times New Roman"/>
          <w:b/>
          <w:bCs w:val="0"/>
          <w:color w:val="auto"/>
          <w:kern w:val="2"/>
          <w:sz w:val="32"/>
          <w:szCs w:val="32"/>
          <w:lang w:val="en-US" w:eastAsia="zh-CN" w:bidi="ar-SA"/>
        </w:rPr>
        <w:t>落实孤儿和事实无人抚养儿童基本保障制度</w:t>
      </w:r>
      <w:r>
        <w:rPr>
          <w:rFonts w:hint="default" w:ascii="仿宋_GB2312" w:hAnsi="Calibri" w:eastAsia="仿宋_GB2312" w:cs="Times New Roman"/>
          <w:bCs/>
          <w:color w:val="auto"/>
          <w:kern w:val="2"/>
          <w:sz w:val="32"/>
          <w:szCs w:val="32"/>
          <w:lang w:val="en-US" w:eastAsia="zh-CN" w:bidi="ar-SA"/>
        </w:rPr>
        <w:t>，印发了《包头市农村留守儿童和困境儿童定期探访制度》《包头市孤儿事实无人抚养儿童基本生活费发放管理办法》，</w:t>
      </w:r>
      <w:r>
        <w:rPr>
          <w:rFonts w:hint="eastAsia" w:ascii="仿宋_GB2312" w:hAnsi="Calibri" w:eastAsia="仿宋_GB2312" w:cs="Times New Roman"/>
          <w:bCs/>
          <w:color w:val="auto"/>
          <w:kern w:val="2"/>
          <w:sz w:val="32"/>
          <w:szCs w:val="32"/>
          <w:lang w:val="en-US" w:eastAsia="zh-CN" w:bidi="ar-SA"/>
        </w:rPr>
        <w:t>全市</w:t>
      </w:r>
      <w:r>
        <w:rPr>
          <w:rFonts w:hint="default" w:ascii="仿宋_GB2312" w:hAnsi="Calibri" w:eastAsia="仿宋_GB2312" w:cs="Times New Roman"/>
          <w:bCs/>
          <w:color w:val="auto"/>
          <w:kern w:val="2"/>
          <w:sz w:val="32"/>
          <w:szCs w:val="32"/>
          <w:lang w:val="en-US" w:eastAsia="zh-CN" w:bidi="ar-SA"/>
        </w:rPr>
        <w:t>共保障209名集中供养孤儿、75名分散供养孤儿和219名事实无人抚养儿童</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发放孤儿助学资金18万元。</w:t>
      </w:r>
      <w:r>
        <w:rPr>
          <w:rFonts w:hint="default" w:ascii="仿宋_GB2312" w:hAnsi="Calibri" w:eastAsia="仿宋_GB2312" w:cs="Times New Roman"/>
          <w:b/>
          <w:bCs w:val="0"/>
          <w:color w:val="auto"/>
          <w:kern w:val="2"/>
          <w:sz w:val="32"/>
          <w:szCs w:val="32"/>
          <w:lang w:val="en-US" w:eastAsia="zh-CN" w:bidi="ar-SA"/>
        </w:rPr>
        <w:t>加强</w:t>
      </w:r>
      <w:r>
        <w:rPr>
          <w:rFonts w:hint="eastAsia" w:ascii="仿宋_GB2312" w:hAnsi="Calibri" w:eastAsia="仿宋_GB2312" w:cs="Times New Roman"/>
          <w:b/>
          <w:bCs w:val="0"/>
          <w:color w:val="auto"/>
          <w:kern w:val="2"/>
          <w:sz w:val="32"/>
          <w:szCs w:val="32"/>
          <w:lang w:val="en-US" w:eastAsia="zh-CN" w:bidi="ar-SA"/>
        </w:rPr>
        <w:t>困境儿童留守儿童</w:t>
      </w:r>
      <w:r>
        <w:rPr>
          <w:rFonts w:hint="default" w:ascii="仿宋_GB2312" w:hAnsi="Calibri" w:eastAsia="仿宋_GB2312" w:cs="Times New Roman"/>
          <w:b/>
          <w:bCs w:val="0"/>
          <w:color w:val="auto"/>
          <w:kern w:val="2"/>
          <w:sz w:val="32"/>
          <w:szCs w:val="32"/>
          <w:lang w:val="en-US" w:eastAsia="zh-CN" w:bidi="ar-SA"/>
        </w:rPr>
        <w:t>关爱服务，</w:t>
      </w:r>
      <w:r>
        <w:rPr>
          <w:rFonts w:hint="eastAsia" w:ascii="仿宋_GB2312" w:hAnsi="Calibri" w:eastAsia="仿宋_GB2312" w:cs="Times New Roman"/>
          <w:bCs/>
          <w:color w:val="auto"/>
          <w:kern w:val="2"/>
          <w:sz w:val="32"/>
          <w:szCs w:val="32"/>
          <w:lang w:val="en-US" w:eastAsia="zh-CN" w:bidi="ar-SA"/>
        </w:rPr>
        <w:t>全市</w:t>
      </w:r>
      <w:r>
        <w:rPr>
          <w:rFonts w:hint="default" w:ascii="仿宋_GB2312" w:hAnsi="Calibri" w:eastAsia="仿宋_GB2312" w:cs="Times New Roman"/>
          <w:bCs/>
          <w:color w:val="auto"/>
          <w:kern w:val="2"/>
          <w:sz w:val="32"/>
          <w:szCs w:val="32"/>
          <w:lang w:val="en-US" w:eastAsia="zh-CN" w:bidi="ar-SA"/>
        </w:rPr>
        <w:t>共投入资金140万元，先后组织实施了“童”享蓝天</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“我帮你”</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“金色童年梦 温暖喜桂图”等留守儿童困境儿童关爱保护项目，提供心理疏导、课业辅导、家庭教育指导等</w:t>
      </w:r>
      <w:r>
        <w:rPr>
          <w:rFonts w:hint="eastAsia" w:ascii="仿宋_GB2312" w:hAnsi="Calibri" w:eastAsia="仿宋_GB2312" w:cs="Times New Roman"/>
          <w:bCs/>
          <w:color w:val="auto"/>
          <w:kern w:val="2"/>
          <w:sz w:val="32"/>
          <w:szCs w:val="32"/>
          <w:lang w:val="en-US" w:eastAsia="zh-CN" w:bidi="ar-SA"/>
        </w:rPr>
        <w:t>专业化</w:t>
      </w:r>
      <w:r>
        <w:rPr>
          <w:rFonts w:hint="default" w:ascii="仿宋_GB2312" w:hAnsi="Calibri" w:eastAsia="仿宋_GB2312" w:cs="Times New Roman"/>
          <w:bCs/>
          <w:color w:val="auto"/>
          <w:kern w:val="2"/>
          <w:sz w:val="32"/>
          <w:szCs w:val="32"/>
          <w:lang w:val="en-US" w:eastAsia="zh-CN" w:bidi="ar-SA"/>
        </w:rPr>
        <w:t>服务</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强化宣传教育培训，</w:t>
      </w:r>
      <w:r>
        <w:rPr>
          <w:rFonts w:hint="eastAsia" w:ascii="仿宋_GB2312" w:hAnsi="Calibri" w:eastAsia="仿宋_GB2312" w:cs="Times New Roman"/>
          <w:bCs/>
          <w:color w:val="auto"/>
          <w:kern w:val="2"/>
          <w:sz w:val="32"/>
          <w:szCs w:val="32"/>
          <w:lang w:val="en-US" w:eastAsia="zh-CN" w:bidi="ar-SA"/>
        </w:rPr>
        <w:t>组织</w:t>
      </w:r>
      <w:r>
        <w:rPr>
          <w:rFonts w:hint="default" w:ascii="仿宋_GB2312" w:hAnsi="宋体" w:eastAsia="仿宋_GB2312" w:cs="仿宋_GB2312"/>
          <w:b w:val="0"/>
          <w:color w:val="auto"/>
          <w:kern w:val="0"/>
          <w:sz w:val="32"/>
          <w:szCs w:val="32"/>
          <w:shd w:val="clear" w:fill="FFFFFF"/>
          <w:lang w:val="en-US" w:eastAsia="zh-CN" w:bidi="ar"/>
        </w:rPr>
        <w:t>开展政策宣讲进村居</w:t>
      </w:r>
      <w:r>
        <w:rPr>
          <w:rFonts w:hint="default" w:ascii="仿宋_GB2312" w:hAnsi="宋体" w:eastAsia="仿宋_GB2312" w:cs="仿宋_GB2312"/>
          <w:b w:val="0"/>
          <w:color w:val="auto"/>
          <w:kern w:val="0"/>
          <w:sz w:val="32"/>
          <w:szCs w:val="32"/>
          <w:shd w:val="clear" w:fill="FFFFFF"/>
          <w:lang w:eastAsia="zh-CN" w:bidi="ar"/>
        </w:rPr>
        <w:t>活动</w:t>
      </w:r>
      <w:r>
        <w:rPr>
          <w:rFonts w:hint="default" w:ascii="仿宋_GB2312" w:hAnsi="宋体" w:eastAsia="仿宋_GB2312" w:cs="仿宋_GB2312"/>
          <w:b w:val="0"/>
          <w:color w:val="auto"/>
          <w:kern w:val="0"/>
          <w:sz w:val="32"/>
          <w:szCs w:val="32"/>
          <w:shd w:val="clear" w:fill="FFFFFF"/>
          <w:lang w:val="en-US" w:eastAsia="zh-CN" w:bidi="ar"/>
        </w:rPr>
        <w:t>243场次</w:t>
      </w:r>
      <w:r>
        <w:rPr>
          <w:rFonts w:hint="eastAsia" w:ascii="仿宋_GB2312" w:eastAsia="仿宋_GB2312" w:cs="仿宋_GB2312"/>
          <w:b w:val="0"/>
          <w:color w:val="auto"/>
          <w:kern w:val="0"/>
          <w:sz w:val="32"/>
          <w:szCs w:val="32"/>
          <w:shd w:val="clear" w:fill="FFFFFF"/>
          <w:lang w:eastAsia="zh-CN" w:bidi="ar"/>
        </w:rPr>
        <w:t>，</w:t>
      </w:r>
      <w:r>
        <w:rPr>
          <w:rFonts w:hint="default" w:ascii="仿宋_GB2312" w:hAnsi="宋体" w:eastAsia="仿宋_GB2312" w:cs="仿宋_GB2312"/>
          <w:b w:val="0"/>
          <w:color w:val="auto"/>
          <w:kern w:val="0"/>
          <w:sz w:val="32"/>
          <w:szCs w:val="32"/>
          <w:shd w:val="clear" w:fill="FFFFFF"/>
          <w:lang w:val="en-US" w:eastAsia="zh-CN" w:bidi="ar"/>
        </w:rPr>
        <w:t>举办专题培训14场，共培训1328人次，儿童主任、儿童督导员培训率达到10</w:t>
      </w:r>
      <w:r>
        <w:rPr>
          <w:rFonts w:hint="default" w:ascii="仿宋_GB2312" w:eastAsia="仿宋_GB2312" w:cs="仿宋_GB2312"/>
          <w:b w:val="0"/>
          <w:color w:val="auto"/>
          <w:kern w:val="0"/>
          <w:sz w:val="32"/>
          <w:szCs w:val="32"/>
          <w:shd w:val="clear" w:fill="FFFFFF"/>
          <w:lang w:eastAsia="zh-CN" w:bidi="ar"/>
        </w:rPr>
        <w:t>0%。</w:t>
      </w:r>
    </w:p>
    <w:p>
      <w:pPr>
        <w:keepNext w:val="0"/>
        <w:keepLines w:val="0"/>
        <w:pageBreakBefore w:val="0"/>
        <w:widowControl w:val="0"/>
        <w:numPr>
          <w:ilvl w:val="0"/>
          <w:numId w:val="1"/>
        </w:numPr>
        <w:kinsoku/>
        <w:wordWrap/>
        <w:overflowPunct/>
        <w:topLinePunct w:val="0"/>
        <w:autoSpaceDE/>
        <w:autoSpaceDN/>
        <w:bidi w:val="0"/>
        <w:snapToGrid w:val="0"/>
        <w:spacing w:line="580" w:lineRule="exact"/>
        <w:ind w:left="-10" w:leftChars="0" w:firstLine="640" w:firstLineChars="0"/>
        <w:textAlignment w:val="baseline"/>
        <w:rPr>
          <w:rFonts w:hint="default" w:ascii="楷体_GB2312" w:hAnsi="楷体_GB2312" w:eastAsia="楷体_GB2312" w:cs="楷体_GB2312"/>
          <w:color w:val="auto"/>
          <w:kern w:val="2"/>
          <w:sz w:val="32"/>
          <w:szCs w:val="32"/>
          <w:lang w:val="en-US" w:eastAsia="zh-CN" w:bidi="ar-SA"/>
        </w:rPr>
      </w:pPr>
      <w:r>
        <w:rPr>
          <w:rFonts w:hint="default" w:ascii="楷体_GB2312" w:hAnsi="楷体_GB2312" w:eastAsia="楷体_GB2312" w:cs="楷体_GB2312"/>
          <w:color w:val="auto"/>
          <w:kern w:val="2"/>
          <w:sz w:val="32"/>
          <w:szCs w:val="32"/>
          <w:lang w:val="en-US" w:eastAsia="zh-CN" w:bidi="ar-SA"/>
        </w:rPr>
        <w:t>社会事务管理</w:t>
      </w:r>
      <w:r>
        <w:rPr>
          <w:rFonts w:hint="eastAsia" w:ascii="楷体_GB2312" w:hAnsi="楷体_GB2312" w:eastAsia="楷体_GB2312" w:cs="楷体_GB2312"/>
          <w:color w:val="auto"/>
          <w:kern w:val="2"/>
          <w:sz w:val="32"/>
          <w:szCs w:val="32"/>
          <w:lang w:val="en-US" w:eastAsia="zh-CN" w:bidi="ar-SA"/>
        </w:rPr>
        <w:t>落实到位</w:t>
      </w:r>
    </w:p>
    <w:p>
      <w:pPr>
        <w:keepNext w:val="0"/>
        <w:keepLines w:val="0"/>
        <w:pageBreakBefore w:val="0"/>
        <w:widowControl w:val="0"/>
        <w:kinsoku/>
        <w:wordWrap/>
        <w:overflowPunct/>
        <w:topLinePunct w:val="0"/>
        <w:autoSpaceDE/>
        <w:autoSpaceDN/>
        <w:bidi w:val="0"/>
        <w:snapToGrid w:val="0"/>
        <w:spacing w:line="580" w:lineRule="exact"/>
        <w:ind w:firstLine="645"/>
        <w:textAlignment w:val="baseline"/>
        <w:rPr>
          <w:rFonts w:hint="eastAsia" w:ascii="仿宋_GB2312" w:hAnsi="Calibri" w:eastAsia="仿宋_GB2312" w:cs="Times New Roman"/>
          <w:bCs/>
          <w:color w:val="auto"/>
          <w:kern w:val="2"/>
          <w:sz w:val="32"/>
          <w:szCs w:val="32"/>
          <w:lang w:val="en-US" w:eastAsia="zh-CN" w:bidi="ar-SA"/>
        </w:rPr>
      </w:pPr>
      <w:r>
        <w:rPr>
          <w:rFonts w:hint="default" w:ascii="仿宋_GB2312" w:hAnsi="Calibri" w:eastAsia="仿宋_GB2312" w:cs="Times New Roman"/>
          <w:b/>
          <w:bCs w:val="0"/>
          <w:color w:val="auto"/>
          <w:kern w:val="2"/>
          <w:sz w:val="32"/>
          <w:szCs w:val="32"/>
          <w:lang w:val="en-US" w:eastAsia="zh-CN" w:bidi="ar-SA"/>
        </w:rPr>
        <w:t>生态文明殡葬</w:t>
      </w:r>
      <w:r>
        <w:rPr>
          <w:rFonts w:hint="eastAsia" w:ascii="仿宋_GB2312" w:hAnsi="Calibri" w:eastAsia="仿宋_GB2312" w:cs="Times New Roman"/>
          <w:b/>
          <w:bCs w:val="0"/>
          <w:color w:val="auto"/>
          <w:kern w:val="2"/>
          <w:sz w:val="32"/>
          <w:szCs w:val="32"/>
          <w:lang w:val="en-US" w:eastAsia="zh-CN" w:bidi="ar-SA"/>
        </w:rPr>
        <w:t>建设</w:t>
      </w:r>
      <w:r>
        <w:rPr>
          <w:rFonts w:hint="default" w:ascii="仿宋_GB2312" w:hAnsi="Calibri" w:eastAsia="仿宋_GB2312" w:cs="Times New Roman"/>
          <w:b/>
          <w:bCs w:val="0"/>
          <w:color w:val="auto"/>
          <w:kern w:val="2"/>
          <w:sz w:val="32"/>
          <w:szCs w:val="32"/>
          <w:lang w:val="en-US" w:eastAsia="zh-CN" w:bidi="ar-SA"/>
        </w:rPr>
        <w:t>稳步推进</w:t>
      </w:r>
      <w:r>
        <w:rPr>
          <w:rFonts w:hint="default" w:ascii="仿宋_GB2312" w:hAnsi="Calibri" w:eastAsia="仿宋_GB2312" w:cs="Times New Roman"/>
          <w:bCs/>
          <w:color w:val="auto"/>
          <w:kern w:val="2"/>
          <w:sz w:val="32"/>
          <w:szCs w:val="32"/>
          <w:lang w:val="en-US" w:eastAsia="zh-CN" w:bidi="ar-SA"/>
        </w:rPr>
        <w:t>，继续落实惠民殡葬政策，全年减免四项基本殡葬服务费用近</w:t>
      </w:r>
      <w:r>
        <w:rPr>
          <w:rFonts w:hint="eastAsia" w:ascii="仿宋_GB2312" w:hAnsi="Calibri" w:eastAsia="仿宋_GB2312" w:cs="Times New Roman"/>
          <w:bCs/>
          <w:color w:val="auto"/>
          <w:kern w:val="2"/>
          <w:sz w:val="32"/>
          <w:szCs w:val="32"/>
          <w:lang w:val="en-US" w:eastAsia="zh-CN" w:bidi="ar-SA"/>
        </w:rPr>
        <w:t>2000万</w:t>
      </w:r>
      <w:r>
        <w:rPr>
          <w:rFonts w:hint="default" w:ascii="仿宋_GB2312" w:hAnsi="Calibri" w:eastAsia="仿宋_GB2312" w:cs="Times New Roman"/>
          <w:bCs/>
          <w:color w:val="auto"/>
          <w:kern w:val="2"/>
          <w:sz w:val="32"/>
          <w:szCs w:val="32"/>
          <w:lang w:val="en-US" w:eastAsia="zh-CN" w:bidi="ar-SA"/>
        </w:rPr>
        <w:t>元，</w:t>
      </w:r>
      <w:r>
        <w:rPr>
          <w:rFonts w:hint="eastAsia" w:ascii="仿宋_GB2312" w:hAnsi="Calibri" w:eastAsia="仿宋_GB2312" w:cs="Times New Roman"/>
          <w:bCs/>
          <w:color w:val="auto"/>
          <w:kern w:val="2"/>
          <w:sz w:val="32"/>
          <w:szCs w:val="32"/>
          <w:lang w:val="en-US" w:eastAsia="zh-CN" w:bidi="ar-SA"/>
        </w:rPr>
        <w:t>切实</w:t>
      </w:r>
      <w:r>
        <w:rPr>
          <w:rFonts w:hint="default" w:ascii="仿宋_GB2312" w:hAnsi="Calibri" w:eastAsia="仿宋_GB2312" w:cs="Times New Roman"/>
          <w:bCs/>
          <w:color w:val="auto"/>
          <w:kern w:val="2"/>
          <w:sz w:val="32"/>
          <w:szCs w:val="32"/>
          <w:lang w:val="en-US" w:eastAsia="zh-CN" w:bidi="ar-SA"/>
        </w:rPr>
        <w:t>减轻群众的丧葬负担；开展生态墓葬建设，</w:t>
      </w:r>
      <w:r>
        <w:rPr>
          <w:rFonts w:hint="eastAsia" w:ascii="仿宋_GB2312" w:hAnsi="Calibri" w:eastAsia="仿宋_GB2312" w:cs="Times New Roman"/>
          <w:bCs/>
          <w:color w:val="auto"/>
          <w:kern w:val="2"/>
          <w:sz w:val="32"/>
          <w:szCs w:val="32"/>
          <w:lang w:val="en-US" w:eastAsia="zh-CN" w:bidi="ar-SA"/>
        </w:rPr>
        <w:t>新建</w:t>
      </w:r>
      <w:r>
        <w:rPr>
          <w:rFonts w:hint="default" w:ascii="仿宋_GB2312" w:hAnsi="Calibri" w:eastAsia="仿宋_GB2312" w:cs="Times New Roman"/>
          <w:bCs/>
          <w:color w:val="auto"/>
          <w:kern w:val="2"/>
          <w:sz w:val="32"/>
          <w:szCs w:val="32"/>
          <w:lang w:val="en-US" w:eastAsia="zh-CN" w:bidi="ar-SA"/>
        </w:rPr>
        <w:t>树葬、草坪葬、花坛葬等生态墓葬2000穴。</w:t>
      </w:r>
      <w:r>
        <w:rPr>
          <w:rFonts w:hint="eastAsia" w:ascii="仿宋_GB2312" w:hAnsi="Calibri" w:eastAsia="仿宋_GB2312" w:cs="Times New Roman"/>
          <w:b/>
          <w:bCs w:val="0"/>
          <w:color w:val="auto"/>
          <w:kern w:val="2"/>
          <w:sz w:val="32"/>
          <w:szCs w:val="32"/>
          <w:lang w:val="en-US" w:eastAsia="zh-CN" w:bidi="ar-SA"/>
        </w:rPr>
        <w:t>违建墓地专项整治取得阶段性成效，</w:t>
      </w:r>
      <w:r>
        <w:rPr>
          <w:rFonts w:hint="eastAsia" w:ascii="仿宋_GB2312" w:hAnsi="Calibri" w:eastAsia="仿宋_GB2312" w:cs="Times New Roman"/>
          <w:bCs/>
          <w:color w:val="auto"/>
          <w:kern w:val="2"/>
          <w:sz w:val="32"/>
          <w:szCs w:val="32"/>
          <w:lang w:val="en-US" w:eastAsia="zh-CN" w:bidi="ar-SA"/>
        </w:rPr>
        <w:t>硬化大墓、活人墓按要求完成整治。重新调整了我市火化区、土葬区，</w:t>
      </w:r>
      <w:r>
        <w:rPr>
          <w:rFonts w:hint="eastAsia" w:ascii="仿宋_GB2312" w:hAnsi="Calibri" w:eastAsia="仿宋_GB2312" w:cs="Times New Roman"/>
          <w:bCs/>
          <w:color w:val="auto"/>
          <w:sz w:val="32"/>
          <w:szCs w:val="32"/>
          <w:lang w:val="en-US" w:eastAsia="zh-CN"/>
        </w:rPr>
        <w:t>殡葬基础设施不断完善，</w:t>
      </w:r>
      <w:r>
        <w:rPr>
          <w:rFonts w:hint="eastAsia" w:ascii="仿宋_GB2312" w:hAnsi="Calibri" w:eastAsia="仿宋_GB2312" w:cs="Times New Roman"/>
          <w:bCs/>
          <w:color w:val="auto"/>
          <w:kern w:val="2"/>
          <w:sz w:val="32"/>
          <w:szCs w:val="32"/>
          <w:lang w:val="en-US" w:eastAsia="zh-CN" w:bidi="ar-SA"/>
        </w:rPr>
        <w:t>固阳县殡仪馆、公益性安葬设施完成立项等前期工作，达茂旗</w:t>
      </w:r>
      <w:r>
        <w:rPr>
          <w:rFonts w:hint="eastAsia" w:ascii="仿宋_GB2312" w:hAnsi="Calibri" w:eastAsia="仿宋_GB2312" w:cs="Times New Roman"/>
          <w:bCs/>
          <w:color w:val="auto"/>
          <w:sz w:val="32"/>
          <w:szCs w:val="32"/>
          <w:lang w:val="en-US" w:eastAsia="zh-CN"/>
        </w:rPr>
        <w:t>公益性公墓完成选址。</w:t>
      </w:r>
      <w:r>
        <w:rPr>
          <w:rFonts w:hint="default" w:ascii="仿宋_GB2312" w:hAnsi="Calibri" w:eastAsia="仿宋_GB2312" w:cs="Times New Roman"/>
          <w:b/>
          <w:bCs w:val="0"/>
          <w:color w:val="auto"/>
          <w:kern w:val="2"/>
          <w:sz w:val="32"/>
          <w:szCs w:val="32"/>
          <w:lang w:val="en-US" w:eastAsia="zh-CN" w:bidi="ar-SA"/>
        </w:rPr>
        <w:t>婚姻登记服务</w:t>
      </w:r>
      <w:r>
        <w:rPr>
          <w:rFonts w:hint="eastAsia" w:ascii="仿宋_GB2312" w:hAnsi="Calibri" w:eastAsia="仿宋_GB2312" w:cs="Times New Roman"/>
          <w:b/>
          <w:bCs w:val="0"/>
          <w:color w:val="auto"/>
          <w:kern w:val="2"/>
          <w:sz w:val="32"/>
          <w:szCs w:val="32"/>
          <w:lang w:val="en-US" w:eastAsia="zh-CN" w:bidi="ar-SA"/>
        </w:rPr>
        <w:t>更加便利</w:t>
      </w:r>
      <w:r>
        <w:rPr>
          <w:rFonts w:hint="default" w:ascii="仿宋_GB2312" w:hAnsi="Calibri" w:eastAsia="仿宋_GB2312" w:cs="Times New Roman"/>
          <w:bCs/>
          <w:color w:val="auto"/>
          <w:kern w:val="2"/>
          <w:sz w:val="32"/>
          <w:szCs w:val="32"/>
          <w:lang w:val="en-US" w:eastAsia="zh-CN" w:bidi="ar-SA"/>
        </w:rPr>
        <w:t>，</w:t>
      </w:r>
      <w:r>
        <w:rPr>
          <w:rFonts w:hint="eastAsia" w:ascii="仿宋_GB2312" w:hAnsi="Calibri" w:eastAsia="仿宋_GB2312" w:cs="Times New Roman"/>
          <w:bCs/>
          <w:color w:val="auto"/>
          <w:kern w:val="2"/>
          <w:sz w:val="32"/>
          <w:szCs w:val="32"/>
          <w:lang w:val="en-US" w:eastAsia="zh-CN" w:bidi="ar-SA"/>
        </w:rPr>
        <w:t>实现</w:t>
      </w:r>
      <w:r>
        <w:rPr>
          <w:rFonts w:hint="default" w:ascii="仿宋_GB2312" w:hAnsi="Calibri" w:eastAsia="仿宋_GB2312" w:cs="Times New Roman"/>
          <w:bCs/>
          <w:color w:val="auto"/>
          <w:kern w:val="2"/>
          <w:sz w:val="32"/>
          <w:szCs w:val="32"/>
          <w:lang w:val="en-US" w:eastAsia="zh-CN" w:bidi="ar-SA"/>
        </w:rPr>
        <w:t>婚姻登记“全市通办”，解决</w:t>
      </w:r>
      <w:r>
        <w:rPr>
          <w:rFonts w:hint="eastAsia" w:ascii="仿宋_GB2312" w:hAnsi="Calibri" w:eastAsia="仿宋_GB2312" w:cs="Times New Roman"/>
          <w:bCs/>
          <w:color w:val="auto"/>
          <w:kern w:val="2"/>
          <w:sz w:val="32"/>
          <w:szCs w:val="32"/>
          <w:lang w:val="en-US" w:eastAsia="zh-CN" w:bidi="ar-SA"/>
        </w:rPr>
        <w:t>了</w:t>
      </w:r>
      <w:r>
        <w:rPr>
          <w:rFonts w:hint="default" w:ascii="仿宋_GB2312" w:hAnsi="Calibri" w:eastAsia="仿宋_GB2312" w:cs="Times New Roman"/>
          <w:bCs/>
          <w:color w:val="auto"/>
          <w:kern w:val="2"/>
          <w:sz w:val="32"/>
          <w:szCs w:val="32"/>
          <w:lang w:val="en-US" w:eastAsia="zh-CN" w:bidi="ar-SA"/>
        </w:rPr>
        <w:t>群众办理婚姻登记“多</w:t>
      </w:r>
      <w:r>
        <w:rPr>
          <w:rFonts w:hint="eastAsia" w:ascii="仿宋_GB2312" w:hAnsi="Calibri" w:eastAsia="仿宋_GB2312" w:cs="Times New Roman"/>
          <w:bCs/>
          <w:color w:val="auto"/>
          <w:kern w:val="2"/>
          <w:sz w:val="32"/>
          <w:szCs w:val="32"/>
          <w:lang w:val="en-US" w:eastAsia="zh-CN" w:bidi="ar-SA"/>
        </w:rPr>
        <w:t>次</w:t>
      </w:r>
      <w:r>
        <w:rPr>
          <w:rFonts w:hint="default" w:ascii="仿宋_GB2312" w:hAnsi="Calibri" w:eastAsia="仿宋_GB2312" w:cs="Times New Roman"/>
          <w:bCs/>
          <w:color w:val="auto"/>
          <w:kern w:val="2"/>
          <w:sz w:val="32"/>
          <w:szCs w:val="32"/>
          <w:lang w:val="en-US" w:eastAsia="zh-CN" w:bidi="ar-SA"/>
        </w:rPr>
        <w:t>跑”问题，满足群众就近办理婚姻登记需求</w:t>
      </w:r>
      <w:r>
        <w:rPr>
          <w:rFonts w:hint="eastAsia" w:ascii="仿宋_GB2312" w:hAnsi="Calibri" w:eastAsia="仿宋_GB2312" w:cs="Times New Roman"/>
          <w:bCs/>
          <w:color w:val="auto"/>
          <w:kern w:val="2"/>
          <w:sz w:val="32"/>
          <w:szCs w:val="32"/>
          <w:lang w:val="en-US" w:eastAsia="zh-CN" w:bidi="ar-SA"/>
        </w:rPr>
        <w:t>，打通服务群众“最后一米”</w:t>
      </w:r>
      <w:r>
        <w:rPr>
          <w:rFonts w:hint="default"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
          <w:bCs w:val="0"/>
          <w:color w:val="auto"/>
          <w:kern w:val="2"/>
          <w:sz w:val="32"/>
          <w:szCs w:val="32"/>
          <w:lang w:val="en-US" w:eastAsia="zh-CN" w:bidi="ar-SA"/>
        </w:rPr>
        <w:t>流浪乞讨人员救助管理规范有序，</w:t>
      </w:r>
      <w:r>
        <w:rPr>
          <w:rFonts w:hint="default" w:ascii="仿宋_GB2312" w:hAnsi="Calibri" w:eastAsia="仿宋_GB2312" w:cs="Times New Roman"/>
          <w:bCs/>
          <w:color w:val="auto"/>
          <w:kern w:val="2"/>
          <w:sz w:val="32"/>
          <w:szCs w:val="32"/>
          <w:lang w:val="en-US" w:eastAsia="zh-CN" w:bidi="ar-SA"/>
        </w:rPr>
        <w:t>街面巡查、站内照料、寻亲、安置、源头治理等各项工作不断深化，有效助力社会和谐稳定，救助流浪乞讨人员</w:t>
      </w:r>
      <w:r>
        <w:rPr>
          <w:rFonts w:hint="default" w:ascii="仿宋_GB2312" w:hAnsi="Calibri" w:eastAsia="仿宋_GB2312" w:cs="Times New Roman"/>
          <w:bCs/>
          <w:color w:val="auto"/>
          <w:kern w:val="2"/>
          <w:sz w:val="32"/>
          <w:szCs w:val="32"/>
          <w:lang w:eastAsia="zh-CN" w:bidi="ar-SA"/>
        </w:rPr>
        <w:t>627</w:t>
      </w:r>
      <w:r>
        <w:rPr>
          <w:rFonts w:hint="default" w:ascii="仿宋_GB2312" w:hAnsi="Calibri" w:eastAsia="仿宋_GB2312" w:cs="Times New Roman"/>
          <w:bCs/>
          <w:color w:val="auto"/>
          <w:kern w:val="2"/>
          <w:sz w:val="32"/>
          <w:szCs w:val="32"/>
          <w:lang w:val="en-US" w:eastAsia="zh-CN" w:bidi="ar-SA"/>
        </w:rPr>
        <w:t>人</w:t>
      </w:r>
      <w:r>
        <w:rPr>
          <w:rFonts w:hint="default" w:ascii="仿宋_GB2312" w:hAnsi="Calibri" w:eastAsia="仿宋_GB2312" w:cs="Times New Roman"/>
          <w:bCs/>
          <w:color w:val="auto"/>
          <w:kern w:val="2"/>
          <w:sz w:val="32"/>
          <w:szCs w:val="32"/>
          <w:lang w:eastAsia="zh-CN" w:bidi="ar-SA"/>
        </w:rPr>
        <w:t>次</w:t>
      </w:r>
      <w:r>
        <w:rPr>
          <w:rFonts w:hint="eastAsia" w:ascii="仿宋_GB2312" w:hAnsi="Calibri" w:eastAsia="仿宋_GB2312" w:cs="Times New Roman"/>
          <w:bCs/>
          <w:color w:val="auto"/>
          <w:kern w:val="2"/>
          <w:sz w:val="32"/>
          <w:szCs w:val="32"/>
          <w:lang w:val="en-US" w:eastAsia="zh-CN" w:bidi="ar-SA"/>
        </w:rPr>
        <w:t>，保障了生活无着流浪乞讨人员的合法权益</w:t>
      </w:r>
      <w:r>
        <w:rPr>
          <w:rFonts w:hint="default" w:ascii="仿宋_GB2312" w:hAnsi="Calibri" w:eastAsia="仿宋_GB2312" w:cs="Times New Roman"/>
          <w:bCs/>
          <w:color w:val="auto"/>
          <w:kern w:val="2"/>
          <w:sz w:val="32"/>
          <w:szCs w:val="32"/>
          <w:lang w:val="en-US" w:eastAsia="zh-CN" w:bidi="ar-SA"/>
        </w:rPr>
        <w:t>。</w:t>
      </w:r>
      <w:r>
        <w:rPr>
          <w:rFonts w:hint="eastAsia" w:ascii="仿宋_GB2312" w:hAnsi="Calibri" w:eastAsia="仿宋_GB2312" w:cs="Times New Roman"/>
          <w:b/>
          <w:bCs w:val="0"/>
          <w:color w:val="auto"/>
          <w:kern w:val="2"/>
          <w:sz w:val="32"/>
          <w:szCs w:val="32"/>
          <w:lang w:val="en-US" w:eastAsia="zh-CN" w:bidi="ar-SA"/>
        </w:rPr>
        <w:t>区划地名管理工作扎实稳健，</w:t>
      </w:r>
      <w:r>
        <w:rPr>
          <w:rFonts w:hint="default" w:ascii="仿宋_GB2312" w:hAnsi="Calibri" w:eastAsia="仿宋_GB2312" w:cs="Times New Roman"/>
          <w:bCs/>
          <w:color w:val="auto"/>
          <w:kern w:val="2"/>
          <w:sz w:val="32"/>
          <w:szCs w:val="32"/>
          <w:lang w:val="en-US" w:eastAsia="zh-CN" w:bidi="ar-SA"/>
        </w:rPr>
        <w:t>以市政府名义印发了《关于进一步明确全市“飞地”专项社会事务管理的意见》</w:t>
      </w:r>
      <w:r>
        <w:rPr>
          <w:rFonts w:hint="eastAsia" w:ascii="仿宋_GB2312" w:hAnsi="Calibri" w:eastAsia="仿宋_GB2312" w:cs="Times New Roman"/>
          <w:bCs/>
          <w:color w:val="auto"/>
          <w:kern w:val="2"/>
          <w:sz w:val="32"/>
          <w:szCs w:val="32"/>
          <w:lang w:val="en-US" w:eastAsia="zh-CN" w:bidi="ar-SA"/>
        </w:rPr>
        <w:t>，确保14处“飞地”社会事务管理职责明确、责任清晰。完成第六轮行政区域界线联合检查既定工作，助力维护边界地区和谐稳定。</w:t>
      </w:r>
    </w:p>
    <w:p>
      <w:pPr>
        <w:keepNext w:val="0"/>
        <w:keepLines w:val="0"/>
        <w:pageBreakBefore w:val="0"/>
        <w:widowControl w:val="0"/>
        <w:numPr>
          <w:ilvl w:val="0"/>
          <w:numId w:val="1"/>
        </w:numPr>
        <w:kinsoku/>
        <w:wordWrap/>
        <w:overflowPunct/>
        <w:topLinePunct w:val="0"/>
        <w:autoSpaceDE/>
        <w:autoSpaceDN/>
        <w:bidi w:val="0"/>
        <w:snapToGrid w:val="0"/>
        <w:spacing w:line="580" w:lineRule="exact"/>
        <w:ind w:left="-10" w:leftChars="0" w:firstLine="640" w:firstLineChars="0"/>
        <w:textAlignment w:val="baseline"/>
        <w:rPr>
          <w:rFonts w:hint="default" w:ascii="楷体_GB2312" w:hAnsi="楷体_GB2312" w:eastAsia="楷体_GB2312" w:cs="楷体_GB2312"/>
          <w:color w:val="auto"/>
          <w:kern w:val="2"/>
          <w:sz w:val="32"/>
          <w:szCs w:val="32"/>
          <w:lang w:val="en-US" w:eastAsia="zh-CN" w:bidi="ar-SA"/>
        </w:rPr>
      </w:pPr>
      <w:r>
        <w:rPr>
          <w:rFonts w:hint="default" w:ascii="楷体_GB2312" w:hAnsi="楷体_GB2312" w:eastAsia="楷体_GB2312" w:cs="楷体_GB2312"/>
          <w:color w:val="auto"/>
          <w:kern w:val="2"/>
          <w:sz w:val="32"/>
          <w:szCs w:val="32"/>
          <w:lang w:val="en-US" w:eastAsia="zh-CN" w:bidi="ar-SA"/>
        </w:rPr>
        <w:t>民政领域营商环境</w:t>
      </w:r>
      <w:r>
        <w:rPr>
          <w:rFonts w:hint="eastAsia" w:ascii="楷体_GB2312" w:hAnsi="楷体_GB2312" w:eastAsia="楷体_GB2312" w:cs="楷体_GB2312"/>
          <w:color w:val="auto"/>
          <w:kern w:val="2"/>
          <w:sz w:val="32"/>
          <w:szCs w:val="32"/>
          <w:lang w:val="en-US" w:eastAsia="zh-CN" w:bidi="ar-SA"/>
        </w:rPr>
        <w:t>不断</w:t>
      </w:r>
      <w:r>
        <w:rPr>
          <w:rFonts w:hint="default" w:ascii="楷体_GB2312" w:hAnsi="楷体_GB2312" w:eastAsia="楷体_GB2312" w:cs="楷体_GB2312"/>
          <w:color w:val="auto"/>
          <w:kern w:val="2"/>
          <w:sz w:val="32"/>
          <w:szCs w:val="32"/>
          <w:lang w:val="en-US" w:eastAsia="zh-CN" w:bidi="ar-SA"/>
        </w:rPr>
        <w:t>优化</w:t>
      </w:r>
    </w:p>
    <w:p>
      <w:pPr>
        <w:keepNext w:val="0"/>
        <w:keepLines w:val="0"/>
        <w:pageBreakBefore w:val="0"/>
        <w:widowControl w:val="0"/>
        <w:suppressLineNumbers w:val="0"/>
        <w:kinsoku/>
        <w:wordWrap/>
        <w:overflowPunct/>
        <w:topLinePunct w:val="0"/>
        <w:autoSpaceDE w:val="0"/>
        <w:autoSpaceDN/>
        <w:bidi w:val="0"/>
        <w:spacing w:before="0" w:beforeAutospacing="0" w:after="0" w:afterAutospacing="0" w:line="580" w:lineRule="exact"/>
        <w:ind w:left="0" w:right="0" w:firstLine="640" w:firstLineChars="200"/>
        <w:jc w:val="both"/>
        <w:rPr>
          <w:rFonts w:hint="eastAsia" w:ascii="仿宋_GB2312" w:hAnsi="Calibri" w:eastAsia="仿宋_GB2312" w:cs="Times New Roman"/>
          <w:bCs/>
          <w:color w:val="auto"/>
          <w:kern w:val="2"/>
          <w:sz w:val="32"/>
          <w:szCs w:val="32"/>
          <w:lang w:val="en-US" w:eastAsia="zh-CN" w:bidi="ar-SA"/>
        </w:rPr>
      </w:pPr>
      <w:r>
        <w:rPr>
          <w:rFonts w:hint="eastAsia" w:ascii="仿宋_GB2312" w:hAnsi="Calibri" w:eastAsia="仿宋_GB2312" w:cs="Times New Roman"/>
          <w:bCs/>
          <w:color w:val="auto"/>
          <w:kern w:val="2"/>
          <w:sz w:val="32"/>
          <w:szCs w:val="32"/>
          <w:lang w:val="en-US" w:eastAsia="zh-CN" w:bidi="ar-SA"/>
        </w:rPr>
        <w:t>局党组下发了《打造一流营商环境加快民政事业高质量发展的实施意见》《包头市打造一流养老服务营商环境实施方案》。</w:t>
      </w:r>
      <w:r>
        <w:rPr>
          <w:rFonts w:hint="eastAsia" w:ascii="仿宋_GB2312" w:hAnsi="Calibri" w:eastAsia="仿宋_GB2312" w:cs="Times New Roman"/>
          <w:b/>
          <w:bCs w:val="0"/>
          <w:color w:val="auto"/>
          <w:kern w:val="2"/>
          <w:sz w:val="32"/>
          <w:szCs w:val="32"/>
          <w:lang w:val="en-US" w:eastAsia="zh-CN" w:bidi="ar-SA"/>
        </w:rPr>
        <w:t>优化再造审批流程</w:t>
      </w:r>
      <w:r>
        <w:rPr>
          <w:rFonts w:hint="eastAsia" w:ascii="仿宋_GB2312" w:hAnsi="Calibri" w:eastAsia="仿宋_GB2312" w:cs="Times New Roman"/>
          <w:bCs/>
          <w:color w:val="auto"/>
          <w:kern w:val="2"/>
          <w:sz w:val="32"/>
          <w:szCs w:val="32"/>
          <w:lang w:val="en-US" w:eastAsia="zh-CN" w:bidi="ar-SA"/>
        </w:rPr>
        <w:t>，坚持审批做“减法”，公开募捐资格审核、慈善组织认定工作审批办理由20个工作日缩短为5个，社会组织审批事项由5个环节简化为2个环节，办理时限由5个工作日缩减为3个。坚持在服务上做“加法”，开发使用“指尖办”“网上办”社会救助系统，为困难群众提供了足不出户、简便易行的自助申请低保渠道，城乡低保审核审批实现全程网上办理；社会组织年检业务与党建工作实现“一门受理”，解决“两头跑”问题；残疾人两项补贴资格认定实现“跨省通办”，婚姻登记实现“全市通办”，开展婚姻登记</w:t>
      </w:r>
      <w:r>
        <w:rPr>
          <w:rFonts w:hint="default" w:ascii="仿宋_GB2312" w:hAnsi="Calibri" w:eastAsia="仿宋_GB2312" w:cs="Times New Roman"/>
          <w:bCs/>
          <w:color w:val="auto"/>
          <w:kern w:val="2"/>
          <w:sz w:val="32"/>
          <w:szCs w:val="32"/>
          <w:lang w:val="en-US" w:eastAsia="zh-CN" w:bidi="ar-SA"/>
        </w:rPr>
        <w:t>、社会组织年检事项</w:t>
      </w:r>
      <w:r>
        <w:rPr>
          <w:rFonts w:hint="eastAsia" w:ascii="仿宋_GB2312" w:hAnsi="Calibri" w:eastAsia="仿宋_GB2312" w:cs="Times New Roman"/>
          <w:bCs/>
          <w:color w:val="auto"/>
          <w:kern w:val="2"/>
          <w:sz w:val="32"/>
          <w:szCs w:val="32"/>
          <w:lang w:val="en-US" w:eastAsia="zh-CN" w:bidi="ar-SA"/>
        </w:rPr>
        <w:t>“周末不打烊”和网上预约、电话预约便民服务，满足群众对便捷化高效化服务的需求。</w:t>
      </w:r>
      <w:r>
        <w:rPr>
          <w:rFonts w:hint="eastAsia" w:ascii="仿宋_GB2312" w:hAnsi="Calibri" w:eastAsia="仿宋_GB2312" w:cs="Times New Roman"/>
          <w:b/>
          <w:bCs w:val="0"/>
          <w:color w:val="auto"/>
          <w:kern w:val="2"/>
          <w:sz w:val="32"/>
          <w:szCs w:val="32"/>
          <w:lang w:val="en-US" w:eastAsia="zh-CN" w:bidi="ar-SA"/>
        </w:rPr>
        <w:t>切实减轻企业负担</w:t>
      </w:r>
      <w:r>
        <w:rPr>
          <w:rFonts w:hint="eastAsia" w:ascii="仿宋_GB2312" w:hAnsi="Calibri" w:eastAsia="仿宋_GB2312" w:cs="Times New Roman"/>
          <w:bCs/>
          <w:color w:val="auto"/>
          <w:kern w:val="2"/>
          <w:sz w:val="32"/>
          <w:szCs w:val="32"/>
          <w:lang w:val="en-US" w:eastAsia="zh-CN" w:bidi="ar-SA"/>
        </w:rPr>
        <w:t>，全面梳理民政领域出台制定的政策类文件和签订的涉企协议，确保惠企政策落地生效。深入开展行业协会商会领域“我为企业减负担”专项行动，指导近30家行业协会商会出台了会费减免、降低措施，共计</w:t>
      </w:r>
      <w:r>
        <w:rPr>
          <w:rFonts w:hint="default" w:ascii="仿宋_GB2312" w:hAnsi="Calibri" w:eastAsia="仿宋_GB2312" w:cs="Times New Roman"/>
          <w:bCs/>
          <w:color w:val="auto"/>
          <w:kern w:val="2"/>
          <w:sz w:val="32"/>
          <w:szCs w:val="32"/>
          <w:lang w:val="en-US" w:eastAsia="zh-CN" w:bidi="ar-SA"/>
        </w:rPr>
        <w:t>减免</w:t>
      </w:r>
      <w:r>
        <w:rPr>
          <w:rFonts w:hint="eastAsia" w:ascii="仿宋_GB2312" w:hAnsi="Calibri" w:eastAsia="仿宋_GB2312" w:cs="Times New Roman"/>
          <w:bCs/>
          <w:color w:val="auto"/>
          <w:kern w:val="2"/>
          <w:sz w:val="32"/>
          <w:szCs w:val="32"/>
          <w:lang w:val="en-US" w:eastAsia="zh-CN" w:bidi="ar-SA"/>
        </w:rPr>
        <w:t>会费235.49万元，其中，指导包头银行业协会减收会费132.6万元，是自治区降低会费幅度最大的行业协会之一，并被国家民政部公示为第四次“全国先进社会组织”。</w:t>
      </w:r>
      <w:r>
        <w:rPr>
          <w:rFonts w:hint="eastAsia" w:ascii="仿宋_GB2312" w:hAnsi="Calibri" w:eastAsia="仿宋_GB2312" w:cs="Times New Roman"/>
          <w:b/>
          <w:bCs w:val="0"/>
          <w:color w:val="auto"/>
          <w:kern w:val="2"/>
          <w:sz w:val="32"/>
          <w:szCs w:val="32"/>
          <w:lang w:val="en-US" w:eastAsia="zh-CN" w:bidi="ar-SA"/>
        </w:rPr>
        <w:t>促进行业协会商会健康发展</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按照</w:t>
      </w:r>
      <w:r>
        <w:rPr>
          <w:rFonts w:hint="eastAsia" w:ascii="仿宋_GB2312" w:hAnsi="Calibri" w:eastAsia="仿宋_GB2312" w:cs="Times New Roman"/>
          <w:bCs/>
          <w:color w:val="auto"/>
          <w:kern w:val="2"/>
          <w:sz w:val="32"/>
          <w:szCs w:val="32"/>
          <w:lang w:val="en-US" w:eastAsia="zh-CN" w:bidi="ar-SA"/>
        </w:rPr>
        <w:t>市委关于</w:t>
      </w:r>
      <w:r>
        <w:rPr>
          <w:rFonts w:hint="default" w:ascii="仿宋_GB2312" w:hAnsi="Calibri" w:eastAsia="仿宋_GB2312" w:cs="Times New Roman"/>
          <w:bCs/>
          <w:color w:val="auto"/>
          <w:kern w:val="2"/>
          <w:sz w:val="32"/>
          <w:szCs w:val="32"/>
          <w:lang w:val="en-US" w:eastAsia="zh-CN" w:bidi="ar-SA"/>
        </w:rPr>
        <w:t>尽快推动成立行业协会</w:t>
      </w:r>
      <w:r>
        <w:rPr>
          <w:rFonts w:hint="eastAsia" w:ascii="仿宋_GB2312" w:hAnsi="Calibri" w:eastAsia="仿宋_GB2312" w:cs="Times New Roman"/>
          <w:bCs/>
          <w:color w:val="auto"/>
          <w:kern w:val="2"/>
          <w:sz w:val="32"/>
          <w:szCs w:val="32"/>
          <w:lang w:val="en-US" w:eastAsia="zh-CN" w:bidi="ar-SA"/>
        </w:rPr>
        <w:t>的要求</w:t>
      </w:r>
      <w:r>
        <w:rPr>
          <w:rFonts w:hint="default" w:ascii="仿宋_GB2312" w:hAnsi="Calibri" w:eastAsia="仿宋_GB2312" w:cs="Times New Roman"/>
          <w:bCs/>
          <w:color w:val="auto"/>
          <w:kern w:val="2"/>
          <w:sz w:val="32"/>
          <w:szCs w:val="32"/>
          <w:lang w:val="en-US" w:eastAsia="zh-CN" w:bidi="ar-SA"/>
        </w:rPr>
        <w:t>，向25个产业主管部门寄送市级行业协会具体信息，在行政审批窗口设置“行业协会商会服务专区”。新登记成立市级行业协会1</w:t>
      </w:r>
      <w:r>
        <w:rPr>
          <w:rFonts w:hint="eastAsia" w:ascii="仿宋_GB2312" w:hAnsi="Calibri" w:eastAsia="仿宋_GB2312" w:cs="Times New Roman"/>
          <w:bCs/>
          <w:color w:val="auto"/>
          <w:kern w:val="2"/>
          <w:sz w:val="32"/>
          <w:szCs w:val="32"/>
          <w:lang w:val="en-US" w:eastAsia="zh-CN" w:bidi="ar-SA"/>
        </w:rPr>
        <w:t>7</w:t>
      </w:r>
      <w:r>
        <w:rPr>
          <w:rFonts w:hint="default" w:ascii="仿宋_GB2312" w:hAnsi="Calibri" w:eastAsia="仿宋_GB2312" w:cs="Times New Roman"/>
          <w:bCs/>
          <w:color w:val="auto"/>
          <w:kern w:val="2"/>
          <w:sz w:val="32"/>
          <w:szCs w:val="32"/>
          <w:lang w:val="en-US" w:eastAsia="zh-CN" w:bidi="ar-SA"/>
        </w:rPr>
        <w:t>家。联合石拐区委、区政府召开了全市行业协会商会负责人恳谈会，</w:t>
      </w:r>
      <w:r>
        <w:rPr>
          <w:rFonts w:hint="eastAsia" w:ascii="仿宋_GB2312" w:hAnsi="Calibri" w:eastAsia="仿宋_GB2312" w:cs="Times New Roman"/>
          <w:bCs/>
          <w:color w:val="auto"/>
          <w:kern w:val="2"/>
          <w:sz w:val="32"/>
          <w:szCs w:val="32"/>
          <w:lang w:val="en-US" w:eastAsia="zh-CN" w:bidi="ar-SA"/>
        </w:rPr>
        <w:t>收集</w:t>
      </w:r>
      <w:r>
        <w:rPr>
          <w:rFonts w:hint="default" w:ascii="仿宋_GB2312" w:hAnsi="Calibri" w:eastAsia="仿宋_GB2312" w:cs="Times New Roman"/>
          <w:bCs/>
          <w:color w:val="auto"/>
          <w:kern w:val="2"/>
          <w:sz w:val="32"/>
          <w:szCs w:val="32"/>
          <w:lang w:val="en-US" w:eastAsia="zh-CN" w:bidi="ar-SA"/>
        </w:rPr>
        <w:t>6个方面、10条意见建议函告12个市直部门。严格社会组织执法监督</w:t>
      </w:r>
      <w:r>
        <w:rPr>
          <w:rFonts w:hint="eastAsia" w:ascii="仿宋_GB2312" w:hAnsi="Calibri" w:eastAsia="仿宋_GB2312" w:cs="Times New Roman"/>
          <w:bCs/>
          <w:color w:val="auto"/>
          <w:kern w:val="2"/>
          <w:sz w:val="32"/>
          <w:szCs w:val="32"/>
          <w:lang w:val="en-US" w:eastAsia="zh-CN" w:bidi="ar-SA"/>
        </w:rPr>
        <w:t>，</w:t>
      </w:r>
      <w:r>
        <w:rPr>
          <w:rFonts w:hint="default" w:ascii="仿宋_GB2312" w:hAnsi="Calibri" w:eastAsia="仿宋_GB2312" w:cs="Times New Roman"/>
          <w:bCs/>
          <w:color w:val="auto"/>
          <w:kern w:val="2"/>
          <w:sz w:val="32"/>
          <w:szCs w:val="32"/>
          <w:lang w:val="en-US" w:eastAsia="zh-CN" w:bidi="ar-SA"/>
        </w:rPr>
        <w:t>依法取缔14家、规范引导登记6家非法社会组织。清理整治“僵尸”社会组织274家。抽检82家行业协会商会收费情况，下发整改意见书</w:t>
      </w:r>
      <w:r>
        <w:rPr>
          <w:rFonts w:hint="eastAsia" w:ascii="仿宋_GB2312" w:hAnsi="Calibri" w:eastAsia="仿宋_GB2312" w:cs="Times New Roman"/>
          <w:bCs/>
          <w:color w:val="auto"/>
          <w:kern w:val="2"/>
          <w:sz w:val="32"/>
          <w:szCs w:val="32"/>
          <w:lang w:val="en-US" w:eastAsia="zh-CN" w:bidi="ar-SA"/>
        </w:rPr>
        <w:t>15份</w:t>
      </w:r>
      <w:r>
        <w:rPr>
          <w:rFonts w:hint="default" w:ascii="仿宋_GB2312" w:hAnsi="Calibri" w:eastAsia="仿宋_GB2312" w:cs="Times New Roman"/>
          <w:bCs/>
          <w:color w:val="auto"/>
          <w:kern w:val="2"/>
          <w:sz w:val="32"/>
          <w:szCs w:val="32"/>
          <w:lang w:val="en-US" w:eastAsia="zh-CN" w:bidi="ar-SA"/>
        </w:rPr>
        <w:t>。</w:t>
      </w:r>
    </w:p>
    <w:p>
      <w:pPr>
        <w:keepNext w:val="0"/>
        <w:keepLines w:val="0"/>
        <w:widowControl/>
        <w:suppressLineNumbers w:val="0"/>
        <w:autoSpaceDE w:val="0"/>
        <w:autoSpaceDN w:val="0"/>
        <w:spacing w:before="100" w:beforeAutospacing="0" w:after="100" w:afterAutospacing="0" w:line="580" w:lineRule="atLeast"/>
        <w:ind w:left="0" w:right="0" w:firstLine="600"/>
        <w:jc w:val="left"/>
        <w:rPr>
          <w:color w:val="auto"/>
        </w:rPr>
      </w:pPr>
      <w:r>
        <w:rPr>
          <w:rFonts w:hint="eastAsia" w:ascii="仿宋_GB2312" w:eastAsia="仿宋_GB2312" w:cs="仿宋_GB2312"/>
          <w:b/>
          <w:bCs/>
          <w:color w:val="auto"/>
          <w:sz w:val="32"/>
          <w:szCs w:val="32"/>
        </w:rPr>
        <w:t>第二部分</w:t>
      </w:r>
      <w:r>
        <w:rPr>
          <w:rFonts w:hint="eastAsia" w:ascii="仿宋_GB2312" w:eastAsia="仿宋_GB2312" w:cs="仿宋_GB2312"/>
          <w:b/>
          <w:bCs/>
          <w:color w:val="auto"/>
          <w:sz w:val="32"/>
          <w:szCs w:val="32"/>
          <w:lang w:val="en-US"/>
        </w:rPr>
        <w:t xml:space="preserve"> 2021</w:t>
      </w:r>
      <w:r>
        <w:rPr>
          <w:rFonts w:hint="eastAsia" w:ascii="仿宋_GB2312" w:eastAsia="仿宋_GB2312" w:cs="仿宋_GB2312"/>
          <w:b/>
          <w:bCs/>
          <w:color w:val="auto"/>
          <w:sz w:val="32"/>
          <w:szCs w:val="32"/>
        </w:rPr>
        <w:t>年度部门决算情况说明</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b/>
          <w:bCs/>
          <w:color w:val="auto"/>
          <w:sz w:val="32"/>
          <w:szCs w:val="32"/>
        </w:rPr>
        <w:t>一、关于</w:t>
      </w:r>
      <w:r>
        <w:rPr>
          <w:rFonts w:hint="eastAsia" w:ascii="仿宋_GB2312" w:eastAsia="仿宋_GB2312" w:cs="仿宋_GB2312"/>
          <w:b/>
          <w:bCs/>
          <w:color w:val="auto"/>
          <w:sz w:val="32"/>
          <w:szCs w:val="32"/>
          <w:lang w:val="en-US"/>
        </w:rPr>
        <w:t>2021</w:t>
      </w:r>
      <w:r>
        <w:rPr>
          <w:rFonts w:hint="eastAsia" w:ascii="仿宋_GB2312" w:eastAsia="仿宋_GB2312" w:cs="仿宋_GB2312"/>
          <w:b/>
          <w:bCs/>
          <w:color w:val="auto"/>
          <w:sz w:val="32"/>
          <w:szCs w:val="32"/>
        </w:rPr>
        <w:t>年度预算执行情况分析</w:t>
      </w:r>
    </w:p>
    <w:p>
      <w:pPr>
        <w:keepNext w:val="0"/>
        <w:keepLines w:val="0"/>
        <w:widowControl/>
        <w:suppressLineNumbers w:val="0"/>
        <w:autoSpaceDE w:val="0"/>
        <w:autoSpaceDN w:val="0"/>
        <w:spacing w:before="100" w:beforeAutospacing="0" w:after="100" w:afterAutospacing="0" w:line="580" w:lineRule="atLeast"/>
        <w:ind w:left="0" w:right="0" w:firstLine="6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rPr>
        <w:t>2021</w:t>
      </w:r>
      <w:r>
        <w:rPr>
          <w:rFonts w:hint="eastAsia" w:ascii="仿宋_GB2312" w:hAnsi="仿宋_GB2312" w:eastAsia="仿宋_GB2312" w:cs="仿宋_GB2312"/>
          <w:color w:val="auto"/>
          <w:sz w:val="32"/>
          <w:szCs w:val="32"/>
        </w:rPr>
        <w:t>年度收入、支出决算总计</w:t>
      </w:r>
      <w:r>
        <w:rPr>
          <w:rFonts w:hint="eastAsia" w:ascii="仿宋_GB2312" w:hAnsi="仿宋_GB2312" w:eastAsia="仿宋_GB2312" w:cs="仿宋_GB2312"/>
          <w:color w:val="auto"/>
          <w:sz w:val="32"/>
          <w:szCs w:val="32"/>
          <w:lang w:val="en-US"/>
        </w:rPr>
        <w:t>5,174.22</w:t>
      </w:r>
      <w:r>
        <w:rPr>
          <w:rFonts w:hint="eastAsia" w:ascii="仿宋_GB2312" w:hAnsi="仿宋_GB2312" w:eastAsia="仿宋_GB2312" w:cs="仿宋_GB2312"/>
          <w:color w:val="auto"/>
          <w:sz w:val="32"/>
          <w:szCs w:val="32"/>
        </w:rPr>
        <w:t>万元。与年初预算相比，收、支总计增加</w:t>
      </w:r>
      <w:r>
        <w:rPr>
          <w:rFonts w:hint="eastAsia" w:ascii="仿宋_GB2312" w:hAnsi="仿宋_GB2312" w:eastAsia="仿宋_GB2312" w:cs="仿宋_GB2312"/>
          <w:color w:val="auto"/>
          <w:sz w:val="32"/>
          <w:szCs w:val="32"/>
          <w:lang w:val="en-US"/>
        </w:rPr>
        <w:t>1,904.97</w:t>
      </w:r>
      <w:r>
        <w:rPr>
          <w:rFonts w:hint="eastAsia" w:ascii="仿宋_GB2312" w:hAnsi="仿宋_GB2312" w:eastAsia="仿宋_GB2312" w:cs="仿宋_GB2312"/>
          <w:color w:val="auto"/>
          <w:sz w:val="32"/>
          <w:szCs w:val="32"/>
        </w:rPr>
        <w:t>万元，增长</w:t>
      </w:r>
      <w:r>
        <w:rPr>
          <w:rFonts w:hint="eastAsia" w:ascii="仿宋_GB2312" w:hAnsi="仿宋_GB2312" w:eastAsia="仿宋_GB2312" w:cs="仿宋_GB2312"/>
          <w:color w:val="auto"/>
          <w:sz w:val="32"/>
          <w:szCs w:val="32"/>
          <w:lang w:val="en-US"/>
        </w:rPr>
        <w:t>58.27%</w:t>
      </w:r>
      <w:r>
        <w:rPr>
          <w:rFonts w:hint="eastAsia" w:ascii="仿宋_GB2312" w:hAnsi="仿宋_GB2312" w:eastAsia="仿宋_GB2312" w:cs="仿宋_GB2312"/>
          <w:color w:val="auto"/>
          <w:sz w:val="32"/>
          <w:szCs w:val="32"/>
        </w:rPr>
        <w:t>，变动原因：</w:t>
      </w:r>
      <w:r>
        <w:rPr>
          <w:rFonts w:hint="eastAsia" w:ascii="仿宋_GB2312" w:hAnsi="仿宋_GB2312" w:eastAsia="仿宋_GB2312" w:cs="仿宋_GB2312"/>
          <w:color w:val="auto"/>
          <w:sz w:val="32"/>
          <w:szCs w:val="32"/>
          <w:lang w:val="en-US" w:eastAsia="zh-CN"/>
        </w:rPr>
        <w:t>2021年新增拨入款项</w:t>
      </w:r>
      <w:r>
        <w:rPr>
          <w:rFonts w:hint="eastAsia" w:ascii="仿宋_GB2312" w:hAnsi="仿宋_GB2312" w:eastAsia="仿宋_GB2312" w:cs="仿宋_GB2312"/>
          <w:color w:val="auto"/>
          <w:sz w:val="32"/>
          <w:szCs w:val="32"/>
        </w:rPr>
        <w:t>。</w:t>
      </w:r>
    </w:p>
    <w:p>
      <w:pPr>
        <w:keepNext w:val="0"/>
        <w:keepLines w:val="0"/>
        <w:widowControl/>
        <w:suppressLineNumbers w:val="0"/>
        <w:autoSpaceDE w:val="0"/>
        <w:autoSpaceDN w:val="0"/>
        <w:spacing w:before="100" w:beforeAutospacing="0" w:after="100" w:afterAutospacing="0" w:line="580" w:lineRule="atLeast"/>
        <w:ind w:left="0" w:right="0" w:firstLine="6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rPr>
        <w:t>2021</w:t>
      </w:r>
      <w:r>
        <w:rPr>
          <w:rFonts w:hint="eastAsia" w:ascii="仿宋_GB2312" w:hAnsi="仿宋_GB2312" w:eastAsia="仿宋_GB2312" w:cs="仿宋_GB2312"/>
          <w:color w:val="auto"/>
          <w:sz w:val="32"/>
          <w:szCs w:val="32"/>
        </w:rPr>
        <w:t>年度财政拨款收入、支出决算总计</w:t>
      </w:r>
      <w:r>
        <w:rPr>
          <w:rFonts w:hint="eastAsia" w:ascii="仿宋_GB2312" w:hAnsi="仿宋_GB2312" w:eastAsia="仿宋_GB2312" w:cs="仿宋_GB2312"/>
          <w:color w:val="auto"/>
          <w:sz w:val="32"/>
          <w:szCs w:val="32"/>
          <w:lang w:val="en-US"/>
        </w:rPr>
        <w:t>5,157.06</w:t>
      </w:r>
      <w:r>
        <w:rPr>
          <w:rFonts w:hint="eastAsia" w:ascii="仿宋_GB2312" w:hAnsi="仿宋_GB2312" w:eastAsia="仿宋_GB2312" w:cs="仿宋_GB2312"/>
          <w:color w:val="auto"/>
          <w:sz w:val="32"/>
          <w:szCs w:val="32"/>
        </w:rPr>
        <w:t>万元。与年初预算相比，收、支总计增加</w:t>
      </w:r>
      <w:r>
        <w:rPr>
          <w:rFonts w:hint="eastAsia" w:ascii="仿宋_GB2312" w:hAnsi="仿宋_GB2312" w:eastAsia="仿宋_GB2312" w:cs="仿宋_GB2312"/>
          <w:color w:val="auto"/>
          <w:sz w:val="32"/>
          <w:szCs w:val="32"/>
          <w:lang w:val="en-US"/>
        </w:rPr>
        <w:t>2,954.58</w:t>
      </w:r>
      <w:r>
        <w:rPr>
          <w:rFonts w:hint="eastAsia" w:ascii="仿宋_GB2312" w:hAnsi="仿宋_GB2312" w:eastAsia="仿宋_GB2312" w:cs="仿宋_GB2312"/>
          <w:color w:val="auto"/>
          <w:sz w:val="32"/>
          <w:szCs w:val="32"/>
        </w:rPr>
        <w:t>万元，增长</w:t>
      </w:r>
      <w:r>
        <w:rPr>
          <w:rFonts w:hint="eastAsia" w:ascii="仿宋_GB2312" w:hAnsi="仿宋_GB2312" w:eastAsia="仿宋_GB2312" w:cs="仿宋_GB2312"/>
          <w:color w:val="auto"/>
          <w:sz w:val="32"/>
          <w:szCs w:val="32"/>
          <w:lang w:val="en-US"/>
        </w:rPr>
        <w:t>134.15%</w:t>
      </w:r>
      <w:r>
        <w:rPr>
          <w:rFonts w:hint="eastAsia" w:ascii="仿宋_GB2312" w:hAnsi="仿宋_GB2312" w:eastAsia="仿宋_GB2312" w:cs="仿宋_GB2312"/>
          <w:color w:val="auto"/>
          <w:sz w:val="32"/>
          <w:szCs w:val="32"/>
        </w:rPr>
        <w:t>，变动原因：</w:t>
      </w:r>
      <w:r>
        <w:rPr>
          <w:rFonts w:hint="eastAsia" w:ascii="仿宋_GB2312" w:hAnsi="仿宋_GB2312" w:eastAsia="仿宋_GB2312" w:cs="仿宋_GB2312"/>
          <w:color w:val="auto"/>
          <w:sz w:val="32"/>
          <w:szCs w:val="32"/>
          <w:lang w:val="en-US" w:eastAsia="zh-CN"/>
        </w:rPr>
        <w:t>2021年新增拨入款项</w:t>
      </w:r>
      <w:r>
        <w:rPr>
          <w:rFonts w:hint="eastAsia" w:ascii="仿宋_GB2312" w:hAnsi="仿宋_GB2312" w:eastAsia="仿宋_GB2312" w:cs="仿宋_GB2312"/>
          <w:color w:val="auto"/>
          <w:sz w:val="32"/>
          <w:szCs w:val="32"/>
        </w:rPr>
        <w:t>。</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b/>
          <w:bCs/>
          <w:color w:val="auto"/>
          <w:sz w:val="32"/>
          <w:szCs w:val="32"/>
        </w:rPr>
        <w:t>二、关于</w:t>
      </w:r>
      <w:r>
        <w:rPr>
          <w:rFonts w:hint="eastAsia" w:ascii="仿宋_GB2312" w:eastAsia="仿宋_GB2312" w:cs="仿宋_GB2312"/>
          <w:b/>
          <w:bCs/>
          <w:color w:val="auto"/>
          <w:sz w:val="32"/>
          <w:szCs w:val="32"/>
          <w:lang w:val="en-US"/>
        </w:rPr>
        <w:t>2021</w:t>
      </w:r>
      <w:r>
        <w:rPr>
          <w:rFonts w:hint="eastAsia" w:ascii="仿宋_GB2312" w:eastAsia="仿宋_GB2312" w:cs="仿宋_GB2312"/>
          <w:b/>
          <w:bCs/>
          <w:color w:val="auto"/>
          <w:sz w:val="32"/>
          <w:szCs w:val="32"/>
        </w:rPr>
        <w:t>年度决算情况说明</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ascii="楷体" w:hAnsi="楷体" w:eastAsia="楷体" w:cs="楷体"/>
          <w:b/>
          <w:bCs/>
          <w:color w:val="auto"/>
          <w:sz w:val="32"/>
          <w:szCs w:val="32"/>
        </w:rPr>
        <w:t>（一）关于收支情况总体说明</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本</w:t>
      </w:r>
      <w:r>
        <w:rPr>
          <w:rFonts w:hint="eastAsia" w:ascii="仿宋_GB2312" w:eastAsia="仿宋_GB2312" w:cs="仿宋_GB2312"/>
          <w:color w:val="auto"/>
          <w:sz w:val="32"/>
          <w:szCs w:val="32"/>
          <w:lang w:val="en-US" w:eastAsia="zh-CN"/>
        </w:rPr>
        <w:t>单位</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年度收入总计</w:t>
      </w:r>
      <w:r>
        <w:rPr>
          <w:rFonts w:hint="eastAsia" w:ascii="仿宋_GB2312" w:eastAsia="仿宋_GB2312" w:cs="仿宋_GB2312"/>
          <w:color w:val="auto"/>
          <w:sz w:val="32"/>
          <w:szCs w:val="32"/>
          <w:lang w:val="en-US"/>
        </w:rPr>
        <w:t>5,174.22</w:t>
      </w:r>
      <w:r>
        <w:rPr>
          <w:rFonts w:hint="eastAsia" w:ascii="仿宋_GB2312" w:eastAsia="仿宋_GB2312" w:cs="仿宋_GB2312"/>
          <w:color w:val="auto"/>
          <w:sz w:val="32"/>
          <w:szCs w:val="32"/>
        </w:rPr>
        <w:t>万元，其中：本年收入合计</w:t>
      </w:r>
      <w:r>
        <w:rPr>
          <w:rFonts w:hint="eastAsia" w:ascii="仿宋_GB2312" w:eastAsia="仿宋_GB2312" w:cs="仿宋_GB2312"/>
          <w:color w:val="auto"/>
          <w:sz w:val="32"/>
          <w:szCs w:val="32"/>
          <w:lang w:val="en-US"/>
        </w:rPr>
        <w:t>2,929.01</w:t>
      </w:r>
      <w:r>
        <w:rPr>
          <w:rFonts w:hint="eastAsia" w:ascii="仿宋_GB2312" w:eastAsia="仿宋_GB2312" w:cs="仿宋_GB2312"/>
          <w:color w:val="auto"/>
          <w:sz w:val="32"/>
          <w:szCs w:val="32"/>
        </w:rPr>
        <w:t>万元，使用非财政拨款结余</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万元，年初结转和结余</w:t>
      </w:r>
      <w:r>
        <w:rPr>
          <w:rFonts w:hint="eastAsia" w:ascii="仿宋_GB2312" w:eastAsia="仿宋_GB2312" w:cs="仿宋_GB2312"/>
          <w:color w:val="auto"/>
          <w:sz w:val="32"/>
          <w:szCs w:val="32"/>
          <w:lang w:val="en-US"/>
        </w:rPr>
        <w:t>2,245.21</w:t>
      </w:r>
      <w:r>
        <w:rPr>
          <w:rFonts w:hint="eastAsia" w:ascii="仿宋_GB2312" w:eastAsia="仿宋_GB2312" w:cs="仿宋_GB2312"/>
          <w:color w:val="auto"/>
          <w:sz w:val="32"/>
          <w:szCs w:val="32"/>
        </w:rPr>
        <w:t>万元；支出总计</w:t>
      </w:r>
      <w:r>
        <w:rPr>
          <w:rFonts w:hint="eastAsia" w:ascii="仿宋_GB2312" w:eastAsia="仿宋_GB2312" w:cs="仿宋_GB2312"/>
          <w:color w:val="auto"/>
          <w:sz w:val="32"/>
          <w:szCs w:val="32"/>
          <w:lang w:val="en-US"/>
        </w:rPr>
        <w:t>5,174.22</w:t>
      </w:r>
      <w:r>
        <w:rPr>
          <w:rFonts w:hint="eastAsia" w:ascii="仿宋_GB2312" w:eastAsia="仿宋_GB2312" w:cs="仿宋_GB2312"/>
          <w:color w:val="auto"/>
          <w:sz w:val="32"/>
          <w:szCs w:val="32"/>
        </w:rPr>
        <w:t>万元，其中：结余分配</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万元，年末结转和结余</w:t>
      </w:r>
      <w:r>
        <w:rPr>
          <w:rFonts w:hint="eastAsia" w:ascii="仿宋_GB2312" w:eastAsia="仿宋_GB2312" w:cs="仿宋_GB2312"/>
          <w:color w:val="auto"/>
          <w:sz w:val="32"/>
          <w:szCs w:val="32"/>
          <w:lang w:val="en-US"/>
        </w:rPr>
        <w:t>1,185.32</w:t>
      </w:r>
      <w:r>
        <w:rPr>
          <w:rFonts w:hint="eastAsia" w:ascii="仿宋_GB2312" w:eastAsia="仿宋_GB2312" w:cs="仿宋_GB2312"/>
          <w:color w:val="auto"/>
          <w:sz w:val="32"/>
          <w:szCs w:val="32"/>
        </w:rPr>
        <w:t>万元。与</w:t>
      </w:r>
      <w:r>
        <w:rPr>
          <w:rFonts w:hint="eastAsia" w:ascii="仿宋_GB2312" w:eastAsia="仿宋_GB2312" w:cs="仿宋_GB2312"/>
          <w:color w:val="auto"/>
          <w:sz w:val="32"/>
          <w:szCs w:val="32"/>
          <w:lang w:val="en-US"/>
        </w:rPr>
        <w:t>2020</w:t>
      </w:r>
      <w:r>
        <w:rPr>
          <w:rFonts w:hint="eastAsia" w:ascii="仿宋_GB2312" w:eastAsia="仿宋_GB2312" w:cs="仿宋_GB2312"/>
          <w:color w:val="auto"/>
          <w:sz w:val="32"/>
          <w:szCs w:val="32"/>
        </w:rPr>
        <w:t>年度相比，收入支出总计减少</w:t>
      </w:r>
      <w:r>
        <w:rPr>
          <w:rFonts w:hint="eastAsia" w:ascii="仿宋_GB2312" w:eastAsia="仿宋_GB2312" w:cs="仿宋_GB2312"/>
          <w:color w:val="auto"/>
          <w:sz w:val="32"/>
          <w:szCs w:val="32"/>
          <w:lang w:val="en-US"/>
        </w:rPr>
        <w:t>4,500.19</w:t>
      </w:r>
      <w:r>
        <w:rPr>
          <w:rFonts w:hint="eastAsia" w:ascii="仿宋_GB2312" w:eastAsia="仿宋_GB2312" w:cs="仿宋_GB2312"/>
          <w:color w:val="auto"/>
          <w:sz w:val="32"/>
          <w:szCs w:val="32"/>
        </w:rPr>
        <w:t>万元，下降</w:t>
      </w:r>
      <w:r>
        <w:rPr>
          <w:rFonts w:hint="eastAsia" w:ascii="仿宋_GB2312" w:eastAsia="仿宋_GB2312" w:cs="仿宋_GB2312"/>
          <w:color w:val="auto"/>
          <w:sz w:val="32"/>
          <w:szCs w:val="32"/>
          <w:lang w:val="en-US"/>
        </w:rPr>
        <w:t>46.52%</w:t>
      </w:r>
      <w:r>
        <w:rPr>
          <w:rFonts w:hint="eastAsia" w:ascii="仿宋_GB2312" w:eastAsia="仿宋_GB2312" w:cs="仿宋_GB2312"/>
          <w:color w:val="auto"/>
          <w:sz w:val="32"/>
          <w:szCs w:val="32"/>
        </w:rPr>
        <w:t>，主要原因：</w:t>
      </w:r>
      <w:r>
        <w:rPr>
          <w:rFonts w:hint="eastAsia" w:ascii="仿宋_GB2312" w:eastAsia="仿宋_GB2312" w:cs="仿宋_GB2312"/>
          <w:color w:val="auto"/>
          <w:sz w:val="32"/>
          <w:szCs w:val="32"/>
          <w:lang w:val="en-US" w:eastAsia="zh-CN"/>
        </w:rPr>
        <w:t>2021年民政福利园区建设支出减少</w:t>
      </w:r>
      <w:r>
        <w:rPr>
          <w:rFonts w:hint="eastAsia" w:ascii="仿宋_GB2312" w:eastAsia="仿宋_GB2312" w:cs="仿宋_GB2312"/>
          <w:color w:val="auto"/>
          <w:sz w:val="32"/>
          <w:szCs w:val="32"/>
        </w:rPr>
        <w:t>。</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楷体" w:hAnsi="楷体" w:eastAsia="楷体" w:cs="楷体"/>
          <w:b/>
          <w:bCs/>
          <w:color w:val="auto"/>
          <w:sz w:val="32"/>
          <w:szCs w:val="32"/>
        </w:rPr>
        <w:t>（二）关于</w:t>
      </w:r>
      <w:r>
        <w:rPr>
          <w:rFonts w:hint="eastAsia" w:ascii="楷体" w:hAnsi="楷体" w:eastAsia="楷体" w:cs="楷体"/>
          <w:b/>
          <w:bCs/>
          <w:color w:val="auto"/>
          <w:sz w:val="32"/>
          <w:szCs w:val="32"/>
          <w:lang w:val="en-US"/>
        </w:rPr>
        <w:t>2021</w:t>
      </w:r>
      <w:r>
        <w:rPr>
          <w:rFonts w:hint="eastAsia" w:ascii="楷体" w:hAnsi="楷体" w:eastAsia="楷体" w:cs="楷体"/>
          <w:b/>
          <w:bCs/>
          <w:color w:val="auto"/>
          <w:sz w:val="32"/>
          <w:szCs w:val="32"/>
        </w:rPr>
        <w:t>年度收入决算情况说明</w:t>
      </w:r>
    </w:p>
    <w:p>
      <w:pPr>
        <w:keepNext w:val="0"/>
        <w:keepLines w:val="0"/>
        <w:widowControl/>
        <w:suppressLineNumbers w:val="0"/>
        <w:autoSpaceDE w:val="0"/>
        <w:autoSpaceDN w:val="0"/>
        <w:spacing w:before="100" w:beforeAutospacing="1" w:after="100" w:afterAutospacing="1" w:line="560" w:lineRule="atLeast"/>
        <w:ind w:left="0" w:right="0" w:firstLine="640"/>
        <w:rPr>
          <w:color w:val="auto"/>
        </w:rPr>
      </w:pPr>
      <w:r>
        <w:rPr>
          <w:rFonts w:hint="eastAsia" w:ascii="仿宋_GB2312" w:eastAsia="仿宋_GB2312" w:cs="仿宋_GB2312"/>
          <w:color w:val="auto"/>
          <w:sz w:val="32"/>
          <w:szCs w:val="32"/>
        </w:rPr>
        <w:t>本</w:t>
      </w:r>
      <w:r>
        <w:rPr>
          <w:rFonts w:hint="eastAsia" w:ascii="仿宋_GB2312" w:eastAsia="仿宋_GB2312" w:cs="仿宋_GB2312"/>
          <w:color w:val="auto"/>
          <w:sz w:val="32"/>
          <w:szCs w:val="32"/>
          <w:lang w:val="en-US" w:eastAsia="zh-CN"/>
        </w:rPr>
        <w:t>单位</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年度收入合计</w:t>
      </w:r>
      <w:r>
        <w:rPr>
          <w:rFonts w:hint="eastAsia" w:ascii="仿宋_GB2312" w:eastAsia="仿宋_GB2312" w:cs="仿宋_GB2312"/>
          <w:color w:val="auto"/>
          <w:sz w:val="32"/>
          <w:szCs w:val="32"/>
          <w:lang w:val="en-US"/>
        </w:rPr>
        <w:t>2,929.01</w:t>
      </w:r>
      <w:r>
        <w:rPr>
          <w:rFonts w:hint="eastAsia" w:ascii="仿宋_GB2312" w:eastAsia="仿宋_GB2312" w:cs="仿宋_GB2312"/>
          <w:color w:val="auto"/>
          <w:sz w:val="32"/>
          <w:szCs w:val="32"/>
        </w:rPr>
        <w:t>万元，其中：财政拨款收入</w:t>
      </w:r>
      <w:r>
        <w:rPr>
          <w:rFonts w:hint="eastAsia" w:ascii="仿宋_GB2312" w:eastAsia="仿宋_GB2312" w:cs="仿宋_GB2312"/>
          <w:color w:val="auto"/>
          <w:sz w:val="32"/>
          <w:szCs w:val="32"/>
          <w:lang w:val="en-US"/>
        </w:rPr>
        <w:t>2,922.13</w:t>
      </w:r>
      <w:r>
        <w:rPr>
          <w:rFonts w:hint="eastAsia" w:ascii="仿宋_GB2312" w:eastAsia="仿宋_GB2312" w:cs="仿宋_GB2312"/>
          <w:color w:val="auto"/>
          <w:sz w:val="32"/>
          <w:szCs w:val="32"/>
        </w:rPr>
        <w:t>万元，占</w:t>
      </w:r>
      <w:r>
        <w:rPr>
          <w:rFonts w:hint="eastAsia" w:ascii="仿宋_GB2312" w:eastAsia="仿宋_GB2312" w:cs="仿宋_GB2312"/>
          <w:color w:val="auto"/>
          <w:sz w:val="32"/>
          <w:szCs w:val="32"/>
          <w:lang w:val="en-US"/>
        </w:rPr>
        <w:t>99.77%</w:t>
      </w:r>
      <w:r>
        <w:rPr>
          <w:rFonts w:hint="eastAsia" w:ascii="仿宋_GB2312" w:eastAsia="仿宋_GB2312" w:cs="仿宋_GB2312"/>
          <w:color w:val="auto"/>
          <w:sz w:val="32"/>
          <w:szCs w:val="32"/>
        </w:rPr>
        <w:t>；事业收入</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万元，占</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；经营收入</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万元，占</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；其他收入</w:t>
      </w:r>
      <w:r>
        <w:rPr>
          <w:rFonts w:hint="eastAsia" w:ascii="仿宋_GB2312" w:eastAsia="仿宋_GB2312" w:cs="仿宋_GB2312"/>
          <w:color w:val="auto"/>
          <w:sz w:val="32"/>
          <w:szCs w:val="32"/>
          <w:lang w:val="en-US"/>
        </w:rPr>
        <w:t>6.88</w:t>
      </w:r>
      <w:r>
        <w:rPr>
          <w:rFonts w:hint="eastAsia" w:ascii="仿宋_GB2312" w:eastAsia="仿宋_GB2312" w:cs="仿宋_GB2312"/>
          <w:color w:val="auto"/>
          <w:sz w:val="32"/>
          <w:szCs w:val="32"/>
        </w:rPr>
        <w:t>万元，占</w:t>
      </w:r>
      <w:r>
        <w:rPr>
          <w:rFonts w:hint="eastAsia" w:ascii="仿宋_GB2312" w:eastAsia="仿宋_GB2312" w:cs="仿宋_GB2312"/>
          <w:color w:val="auto"/>
          <w:sz w:val="32"/>
          <w:szCs w:val="32"/>
          <w:lang w:val="en-US"/>
        </w:rPr>
        <w:t>0.23%</w:t>
      </w:r>
      <w:r>
        <w:rPr>
          <w:rFonts w:hint="eastAsia" w:ascii="仿宋_GB2312" w:eastAsia="仿宋_GB2312" w:cs="仿宋_GB2312"/>
          <w:color w:val="auto"/>
          <w:sz w:val="32"/>
          <w:szCs w:val="32"/>
        </w:rPr>
        <w:t>。</w:t>
      </w:r>
    </w:p>
    <w:p>
      <w:pPr>
        <w:keepNext w:val="0"/>
        <w:keepLines w:val="0"/>
        <w:widowControl/>
        <w:suppressLineNumbers w:val="0"/>
        <w:autoSpaceDE w:val="0"/>
        <w:autoSpaceDN w:val="0"/>
        <w:spacing w:before="100" w:beforeAutospacing="1" w:after="100" w:afterAutospacing="1" w:line="560" w:lineRule="atLeast"/>
        <w:ind w:left="0" w:right="0" w:firstLine="640"/>
        <w:rPr>
          <w:rFonts w:hint="eastAsia" w:ascii="仿宋" w:hAnsi="仿宋" w:eastAsia="仿宋" w:cs="仿宋"/>
          <w:color w:val="auto"/>
          <w:sz w:val="32"/>
          <w:szCs w:val="32"/>
        </w:rPr>
      </w:pPr>
      <w:r>
        <w:rPr>
          <w:rFonts w:hint="eastAsia" w:ascii="仿宋" w:hAnsi="仿宋" w:eastAsia="仿宋" w:cs="仿宋"/>
          <w:color w:val="auto"/>
          <w:sz w:val="32"/>
          <w:szCs w:val="32"/>
        </w:rPr>
        <w:t>图</w:t>
      </w:r>
      <w:r>
        <w:rPr>
          <w:rFonts w:hint="eastAsia" w:ascii="仿宋" w:hAnsi="仿宋" w:eastAsia="仿宋" w:cs="仿宋"/>
          <w:color w:val="auto"/>
          <w:sz w:val="32"/>
          <w:szCs w:val="32"/>
          <w:lang w:val="en-US"/>
        </w:rPr>
        <w:t>1</w:t>
      </w:r>
      <w:r>
        <w:rPr>
          <w:rFonts w:hint="eastAsia" w:ascii="仿宋" w:hAnsi="仿宋" w:eastAsia="仿宋" w:cs="仿宋"/>
          <w:color w:val="auto"/>
          <w:sz w:val="32"/>
          <w:szCs w:val="32"/>
        </w:rPr>
        <w:t>：收入决算图</w:t>
      </w:r>
    </w:p>
    <w:p>
      <w:pPr>
        <w:pStyle w:val="2"/>
        <w:rPr>
          <w:color w:val="auto"/>
        </w:rPr>
      </w:pPr>
      <w:r>
        <w:rPr>
          <w:rFonts w:hint="eastAsia" w:eastAsia="宋体"/>
          <w:color w:val="auto"/>
          <w:lang w:eastAsia="zh-CN"/>
        </w:rPr>
        <w:drawing>
          <wp:inline distT="0" distB="0" distL="114300" distR="114300">
            <wp:extent cx="3813175" cy="2395855"/>
            <wp:effectExtent l="0" t="0" r="15875" b="4445"/>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5"/>
                    <a:stretch>
                      <a:fillRect/>
                    </a:stretch>
                  </pic:blipFill>
                  <pic:spPr>
                    <a:xfrm>
                      <a:off x="0" y="0"/>
                      <a:ext cx="3813175" cy="2395855"/>
                    </a:xfrm>
                    <a:prstGeom prst="rect">
                      <a:avLst/>
                    </a:prstGeom>
                    <a:extLst>
                      <wpswe:webExtensionRef xmlns:wpswe="http://www.wps.cn/officeDocument/2018/webExtension" r:id="rId4"/>
                    </a:extLst>
                  </pic:spPr>
                </pic:pic>
              </a:graphicData>
            </a:graphic>
          </wp:inline>
        </w:drawing>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default" w:ascii="Times New Roman" w:hAnsi="Times New Roman" w:cs="Times New Roman"/>
          <w:color w:val="auto"/>
          <w:sz w:val="24"/>
          <w:szCs w:val="24"/>
          <w:lang w:val="en-US"/>
        </w:rPr>
        <w:t> </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楷体" w:hAnsi="楷体" w:eastAsia="楷体" w:cs="楷体"/>
          <w:b/>
          <w:bCs/>
          <w:color w:val="auto"/>
          <w:sz w:val="32"/>
          <w:szCs w:val="32"/>
        </w:rPr>
        <w:t>（三）关于</w:t>
      </w:r>
      <w:r>
        <w:rPr>
          <w:rFonts w:hint="eastAsia" w:ascii="楷体" w:hAnsi="楷体" w:eastAsia="楷体" w:cs="楷体"/>
          <w:b/>
          <w:bCs/>
          <w:color w:val="auto"/>
          <w:sz w:val="32"/>
          <w:szCs w:val="32"/>
          <w:lang w:val="en-US"/>
        </w:rPr>
        <w:t>2021</w:t>
      </w:r>
      <w:r>
        <w:rPr>
          <w:rFonts w:hint="eastAsia" w:ascii="楷体" w:hAnsi="楷体" w:eastAsia="楷体" w:cs="楷体"/>
          <w:b/>
          <w:bCs/>
          <w:color w:val="auto"/>
          <w:sz w:val="32"/>
          <w:szCs w:val="32"/>
        </w:rPr>
        <w:t>年度支出决算情况说明</w:t>
      </w:r>
    </w:p>
    <w:p>
      <w:pPr>
        <w:keepNext w:val="0"/>
        <w:keepLines w:val="0"/>
        <w:widowControl/>
        <w:suppressLineNumbers w:val="0"/>
        <w:autoSpaceDE w:val="0"/>
        <w:autoSpaceDN w:val="0"/>
        <w:spacing w:before="100" w:beforeAutospacing="1" w:after="100" w:afterAutospacing="1" w:line="560" w:lineRule="atLeast"/>
        <w:ind w:left="0" w:right="0" w:firstLine="640"/>
        <w:rPr>
          <w:color w:val="auto"/>
        </w:rPr>
      </w:pPr>
      <w:r>
        <w:rPr>
          <w:rFonts w:hint="eastAsia" w:ascii="仿宋_GB2312" w:eastAsia="仿宋_GB2312" w:cs="仿宋_GB2312"/>
          <w:color w:val="auto"/>
          <w:sz w:val="32"/>
          <w:szCs w:val="32"/>
        </w:rPr>
        <w:t>本</w:t>
      </w:r>
      <w:r>
        <w:rPr>
          <w:rFonts w:hint="eastAsia" w:ascii="仿宋_GB2312" w:eastAsia="仿宋_GB2312" w:cs="仿宋_GB2312"/>
          <w:color w:val="auto"/>
          <w:sz w:val="32"/>
          <w:szCs w:val="32"/>
          <w:lang w:val="en-US" w:eastAsia="zh-CN"/>
        </w:rPr>
        <w:t>单位</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年度支出合计</w:t>
      </w:r>
      <w:r>
        <w:rPr>
          <w:rFonts w:hint="eastAsia" w:ascii="仿宋_GB2312" w:eastAsia="仿宋_GB2312" w:cs="仿宋_GB2312"/>
          <w:color w:val="auto"/>
          <w:sz w:val="32"/>
          <w:szCs w:val="32"/>
          <w:lang w:val="en-US"/>
        </w:rPr>
        <w:t>3,988.90</w:t>
      </w:r>
      <w:r>
        <w:rPr>
          <w:rFonts w:hint="eastAsia" w:ascii="仿宋_GB2312" w:eastAsia="仿宋_GB2312" w:cs="仿宋_GB2312"/>
          <w:color w:val="auto"/>
          <w:sz w:val="32"/>
          <w:szCs w:val="32"/>
        </w:rPr>
        <w:t>万元，其中：基本支出</w:t>
      </w:r>
      <w:r>
        <w:rPr>
          <w:rFonts w:hint="eastAsia" w:ascii="仿宋_GB2312" w:eastAsia="仿宋_GB2312" w:cs="仿宋_GB2312"/>
          <w:color w:val="auto"/>
          <w:sz w:val="32"/>
          <w:szCs w:val="32"/>
          <w:lang w:val="en-US"/>
        </w:rPr>
        <w:t>700.75</w:t>
      </w:r>
      <w:r>
        <w:rPr>
          <w:rFonts w:hint="eastAsia" w:ascii="仿宋_GB2312" w:eastAsia="仿宋_GB2312" w:cs="仿宋_GB2312"/>
          <w:color w:val="auto"/>
          <w:sz w:val="32"/>
          <w:szCs w:val="32"/>
        </w:rPr>
        <w:t>万元，占</w:t>
      </w:r>
      <w:r>
        <w:rPr>
          <w:rFonts w:hint="eastAsia" w:ascii="仿宋_GB2312" w:eastAsia="仿宋_GB2312" w:cs="仿宋_GB2312"/>
          <w:color w:val="auto"/>
          <w:sz w:val="32"/>
          <w:szCs w:val="32"/>
          <w:lang w:val="en-US"/>
        </w:rPr>
        <w:t>17.57%</w:t>
      </w:r>
      <w:r>
        <w:rPr>
          <w:rFonts w:hint="eastAsia" w:ascii="仿宋_GB2312" w:eastAsia="仿宋_GB2312" w:cs="仿宋_GB2312"/>
          <w:color w:val="auto"/>
          <w:sz w:val="32"/>
          <w:szCs w:val="32"/>
        </w:rPr>
        <w:t>；项目支出</w:t>
      </w:r>
      <w:r>
        <w:rPr>
          <w:rFonts w:hint="eastAsia" w:ascii="仿宋_GB2312" w:eastAsia="仿宋_GB2312" w:cs="仿宋_GB2312"/>
          <w:color w:val="auto"/>
          <w:sz w:val="32"/>
          <w:szCs w:val="32"/>
          <w:lang w:val="en-US"/>
        </w:rPr>
        <w:t>3,288.15</w:t>
      </w:r>
      <w:r>
        <w:rPr>
          <w:rFonts w:hint="eastAsia" w:ascii="仿宋_GB2312" w:eastAsia="仿宋_GB2312" w:cs="仿宋_GB2312"/>
          <w:color w:val="auto"/>
          <w:sz w:val="32"/>
          <w:szCs w:val="32"/>
        </w:rPr>
        <w:t>万元，占</w:t>
      </w:r>
      <w:r>
        <w:rPr>
          <w:rFonts w:hint="eastAsia" w:ascii="仿宋_GB2312" w:eastAsia="仿宋_GB2312" w:cs="仿宋_GB2312"/>
          <w:color w:val="auto"/>
          <w:sz w:val="32"/>
          <w:szCs w:val="32"/>
          <w:lang w:val="en-US"/>
        </w:rPr>
        <w:t>82.43%</w:t>
      </w:r>
      <w:r>
        <w:rPr>
          <w:rFonts w:hint="eastAsia" w:ascii="仿宋_GB2312" w:eastAsia="仿宋_GB2312" w:cs="仿宋_GB2312"/>
          <w:color w:val="auto"/>
          <w:sz w:val="32"/>
          <w:szCs w:val="32"/>
        </w:rPr>
        <w:t>；经营支出</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万元，占</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w:t>
      </w:r>
    </w:p>
    <w:p>
      <w:pPr>
        <w:keepNext w:val="0"/>
        <w:keepLines w:val="0"/>
        <w:widowControl/>
        <w:suppressLineNumbers w:val="0"/>
        <w:autoSpaceDE w:val="0"/>
        <w:autoSpaceDN w:val="0"/>
        <w:spacing w:before="100" w:beforeAutospacing="1" w:after="100" w:afterAutospacing="1" w:line="560" w:lineRule="atLeast"/>
        <w:ind w:left="0" w:right="0" w:firstLine="640"/>
        <w:rPr>
          <w:color w:val="auto"/>
        </w:rPr>
      </w:pPr>
      <w:r>
        <w:rPr>
          <w:rFonts w:hint="eastAsia" w:ascii="仿宋" w:hAnsi="仿宋" w:eastAsia="仿宋" w:cs="仿宋"/>
          <w:color w:val="auto"/>
          <w:sz w:val="32"/>
          <w:szCs w:val="32"/>
        </w:rPr>
        <w:t>图</w:t>
      </w:r>
      <w:r>
        <w:rPr>
          <w:rFonts w:hint="eastAsia" w:ascii="仿宋" w:hAnsi="仿宋" w:eastAsia="仿宋" w:cs="仿宋"/>
          <w:color w:val="auto"/>
          <w:sz w:val="32"/>
          <w:szCs w:val="32"/>
          <w:lang w:val="en-US"/>
        </w:rPr>
        <w:t>2</w:t>
      </w:r>
      <w:r>
        <w:rPr>
          <w:rFonts w:hint="eastAsia" w:ascii="仿宋" w:hAnsi="仿宋" w:eastAsia="仿宋" w:cs="仿宋"/>
          <w:color w:val="auto"/>
          <w:sz w:val="32"/>
          <w:szCs w:val="32"/>
        </w:rPr>
        <w:t>：支出决算图</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default" w:ascii="Times New Roman" w:hAnsi="Times New Roman" w:cs="Times New Roman"/>
          <w:color w:val="auto"/>
          <w:sz w:val="32"/>
          <w:szCs w:val="32"/>
          <w:lang w:val="en-US"/>
        </w:rPr>
        <w:t> </w:t>
      </w:r>
      <w:r>
        <w:rPr>
          <w:rFonts w:hint="eastAsia" w:eastAsia="宋体"/>
          <w:color w:val="auto"/>
          <w:lang w:eastAsia="zh-CN"/>
        </w:rPr>
        <w:drawing>
          <wp:inline distT="0" distB="0" distL="114300" distR="114300">
            <wp:extent cx="3813175" cy="2395855"/>
            <wp:effectExtent l="0" t="0" r="15875" b="444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7"/>
                    <a:stretch>
                      <a:fillRect/>
                    </a:stretch>
                  </pic:blipFill>
                  <pic:spPr>
                    <a:xfrm>
                      <a:off x="0" y="0"/>
                      <a:ext cx="3813175" cy="2395855"/>
                    </a:xfrm>
                    <a:prstGeom prst="rect">
                      <a:avLst/>
                    </a:prstGeom>
                    <a:extLst>
                      <wpswe:webExtensionRef xmlns:wpswe="http://www.wps.cn/officeDocument/2018/webExtension" r:id="rId6"/>
                    </a:extLst>
                  </pic:spPr>
                </pic:pic>
              </a:graphicData>
            </a:graphic>
          </wp:inline>
        </w:drawing>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default" w:ascii="Times New Roman" w:hAnsi="Times New Roman" w:cs="Times New Roman"/>
          <w:color w:val="auto"/>
          <w:sz w:val="24"/>
          <w:szCs w:val="24"/>
          <w:lang w:val="en-US"/>
        </w:rPr>
        <w:t> </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楷体" w:hAnsi="楷体" w:eastAsia="楷体" w:cs="楷体"/>
          <w:b/>
          <w:bCs/>
          <w:color w:val="auto"/>
          <w:sz w:val="32"/>
          <w:szCs w:val="32"/>
        </w:rPr>
        <w:t>（四）关于</w:t>
      </w:r>
      <w:r>
        <w:rPr>
          <w:rFonts w:hint="eastAsia" w:ascii="楷体" w:hAnsi="楷体" w:eastAsia="楷体" w:cs="楷体"/>
          <w:b/>
          <w:bCs/>
          <w:color w:val="auto"/>
          <w:sz w:val="32"/>
          <w:szCs w:val="32"/>
          <w:lang w:val="en-US"/>
        </w:rPr>
        <w:t>2021</w:t>
      </w:r>
      <w:r>
        <w:rPr>
          <w:rFonts w:hint="eastAsia" w:ascii="楷体" w:hAnsi="楷体" w:eastAsia="楷体" w:cs="楷体"/>
          <w:b/>
          <w:bCs/>
          <w:color w:val="auto"/>
          <w:sz w:val="32"/>
          <w:szCs w:val="32"/>
        </w:rPr>
        <w:t>年度财政拨款收入支出决算总体情况说明</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本</w:t>
      </w:r>
      <w:r>
        <w:rPr>
          <w:rFonts w:hint="eastAsia" w:ascii="仿宋_GB2312" w:eastAsia="仿宋_GB2312" w:cs="仿宋_GB2312"/>
          <w:color w:val="auto"/>
          <w:sz w:val="32"/>
          <w:szCs w:val="32"/>
          <w:lang w:val="en-US" w:eastAsia="zh-CN"/>
        </w:rPr>
        <w:t>单位</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年度财政拨款收入总计</w:t>
      </w:r>
      <w:r>
        <w:rPr>
          <w:rFonts w:hint="eastAsia" w:ascii="仿宋_GB2312" w:eastAsia="仿宋_GB2312" w:cs="仿宋_GB2312"/>
          <w:color w:val="auto"/>
          <w:sz w:val="32"/>
          <w:szCs w:val="32"/>
          <w:lang w:val="en-US"/>
        </w:rPr>
        <w:t>5,157.06</w:t>
      </w:r>
      <w:r>
        <w:rPr>
          <w:rFonts w:hint="eastAsia" w:ascii="仿宋_GB2312" w:eastAsia="仿宋_GB2312" w:cs="仿宋_GB2312"/>
          <w:color w:val="auto"/>
          <w:sz w:val="32"/>
          <w:szCs w:val="32"/>
        </w:rPr>
        <w:t>万元，其中：年初结转和结余</w:t>
      </w:r>
      <w:r>
        <w:rPr>
          <w:rFonts w:hint="eastAsia" w:ascii="仿宋_GB2312" w:eastAsia="仿宋_GB2312" w:cs="仿宋_GB2312"/>
          <w:color w:val="auto"/>
          <w:sz w:val="32"/>
          <w:szCs w:val="32"/>
          <w:lang w:val="en-US"/>
        </w:rPr>
        <w:t>2,234.93</w:t>
      </w:r>
      <w:r>
        <w:rPr>
          <w:rFonts w:hint="eastAsia" w:ascii="仿宋_GB2312" w:eastAsia="仿宋_GB2312" w:cs="仿宋_GB2312"/>
          <w:color w:val="auto"/>
          <w:sz w:val="32"/>
          <w:szCs w:val="32"/>
        </w:rPr>
        <w:t>万元；支出总计</w:t>
      </w:r>
      <w:r>
        <w:rPr>
          <w:rFonts w:hint="eastAsia" w:ascii="仿宋_GB2312" w:eastAsia="仿宋_GB2312" w:cs="仿宋_GB2312"/>
          <w:color w:val="auto"/>
          <w:sz w:val="32"/>
          <w:szCs w:val="32"/>
          <w:lang w:val="en-US"/>
        </w:rPr>
        <w:t>5,157.06</w:t>
      </w:r>
      <w:r>
        <w:rPr>
          <w:rFonts w:hint="eastAsia" w:ascii="仿宋_GB2312" w:eastAsia="仿宋_GB2312" w:cs="仿宋_GB2312"/>
          <w:color w:val="auto"/>
          <w:sz w:val="32"/>
          <w:szCs w:val="32"/>
        </w:rPr>
        <w:t>万元，其中：年末结转和结余</w:t>
      </w:r>
      <w:r>
        <w:rPr>
          <w:rFonts w:hint="eastAsia" w:ascii="仿宋_GB2312" w:eastAsia="仿宋_GB2312" w:cs="仿宋_GB2312"/>
          <w:color w:val="auto"/>
          <w:sz w:val="32"/>
          <w:szCs w:val="32"/>
          <w:lang w:val="en-US"/>
        </w:rPr>
        <w:t>1,178.44</w:t>
      </w:r>
      <w:r>
        <w:rPr>
          <w:rFonts w:hint="eastAsia" w:ascii="仿宋_GB2312" w:eastAsia="仿宋_GB2312" w:cs="仿宋_GB2312"/>
          <w:color w:val="auto"/>
          <w:sz w:val="32"/>
          <w:szCs w:val="32"/>
        </w:rPr>
        <w:t>万元。与</w:t>
      </w:r>
      <w:r>
        <w:rPr>
          <w:rFonts w:hint="eastAsia" w:ascii="仿宋_GB2312" w:eastAsia="仿宋_GB2312" w:cs="仿宋_GB2312"/>
          <w:color w:val="auto"/>
          <w:sz w:val="32"/>
          <w:szCs w:val="32"/>
          <w:lang w:val="en-US"/>
        </w:rPr>
        <w:t>2020</w:t>
      </w:r>
      <w:r>
        <w:rPr>
          <w:rFonts w:hint="eastAsia" w:ascii="仿宋_GB2312" w:eastAsia="仿宋_GB2312" w:cs="仿宋_GB2312"/>
          <w:color w:val="auto"/>
          <w:sz w:val="32"/>
          <w:szCs w:val="32"/>
        </w:rPr>
        <w:t>年度相比，收入支出总计减少</w:t>
      </w:r>
      <w:r>
        <w:rPr>
          <w:rFonts w:hint="eastAsia" w:ascii="仿宋_GB2312" w:eastAsia="仿宋_GB2312" w:cs="仿宋_GB2312"/>
          <w:color w:val="auto"/>
          <w:sz w:val="32"/>
          <w:szCs w:val="32"/>
          <w:lang w:val="en-US"/>
        </w:rPr>
        <w:t>4,507.06</w:t>
      </w:r>
      <w:r>
        <w:rPr>
          <w:rFonts w:hint="eastAsia" w:ascii="仿宋_GB2312" w:eastAsia="仿宋_GB2312" w:cs="仿宋_GB2312"/>
          <w:color w:val="auto"/>
          <w:sz w:val="32"/>
          <w:szCs w:val="32"/>
        </w:rPr>
        <w:t>万元，下降</w:t>
      </w:r>
      <w:r>
        <w:rPr>
          <w:rFonts w:hint="eastAsia" w:ascii="仿宋_GB2312" w:eastAsia="仿宋_GB2312" w:cs="仿宋_GB2312"/>
          <w:color w:val="auto"/>
          <w:sz w:val="32"/>
          <w:szCs w:val="32"/>
          <w:lang w:val="en-US"/>
        </w:rPr>
        <w:t>46.64%</w:t>
      </w:r>
      <w:r>
        <w:rPr>
          <w:rFonts w:hint="eastAsia" w:ascii="仿宋_GB2312" w:eastAsia="仿宋_GB2312" w:cs="仿宋_GB2312"/>
          <w:color w:val="auto"/>
          <w:sz w:val="32"/>
          <w:szCs w:val="32"/>
        </w:rPr>
        <w:t>。主要原因：</w:t>
      </w:r>
      <w:r>
        <w:rPr>
          <w:rFonts w:hint="eastAsia" w:ascii="仿宋_GB2312" w:eastAsia="仿宋_GB2312" w:cs="仿宋_GB2312"/>
          <w:color w:val="auto"/>
          <w:sz w:val="32"/>
          <w:szCs w:val="32"/>
          <w:lang w:val="en-US" w:eastAsia="zh-CN"/>
        </w:rPr>
        <w:t>2021年拨入资金减少</w:t>
      </w:r>
      <w:r>
        <w:rPr>
          <w:rFonts w:hint="eastAsia" w:ascii="仿宋_GB2312" w:eastAsia="仿宋_GB2312" w:cs="仿宋_GB2312"/>
          <w:color w:val="auto"/>
          <w:sz w:val="32"/>
          <w:szCs w:val="32"/>
        </w:rPr>
        <w:t>。</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楷体" w:hAnsi="楷体" w:eastAsia="楷体" w:cs="楷体"/>
          <w:b/>
          <w:bCs/>
          <w:color w:val="auto"/>
          <w:sz w:val="32"/>
          <w:szCs w:val="32"/>
        </w:rPr>
        <w:t>（五）关于</w:t>
      </w:r>
      <w:r>
        <w:rPr>
          <w:rFonts w:hint="eastAsia" w:ascii="楷体" w:hAnsi="楷体" w:eastAsia="楷体" w:cs="楷体"/>
          <w:b/>
          <w:bCs/>
          <w:color w:val="auto"/>
          <w:sz w:val="32"/>
          <w:szCs w:val="32"/>
          <w:lang w:val="en-US"/>
        </w:rPr>
        <w:t>2021</w:t>
      </w:r>
      <w:r>
        <w:rPr>
          <w:rFonts w:hint="eastAsia" w:ascii="楷体" w:hAnsi="楷体" w:eastAsia="楷体" w:cs="楷体"/>
          <w:b/>
          <w:bCs/>
          <w:color w:val="auto"/>
          <w:sz w:val="32"/>
          <w:szCs w:val="32"/>
        </w:rPr>
        <w:t>年度一般公共预算财政拨款支出决算情况说明</w:t>
      </w:r>
    </w:p>
    <w:p>
      <w:pPr>
        <w:keepNext w:val="0"/>
        <w:keepLines w:val="0"/>
        <w:widowControl/>
        <w:suppressLineNumbers w:val="0"/>
        <w:autoSpaceDE w:val="0"/>
        <w:autoSpaceDN w:val="0"/>
        <w:spacing w:before="100" w:beforeAutospacing="0" w:after="100" w:afterAutospacing="0" w:line="580" w:lineRule="atLeast"/>
        <w:ind w:left="0" w:right="0" w:firstLine="6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w:t>
      </w:r>
      <w:r>
        <w:rPr>
          <w:rFonts w:hint="eastAsia" w:ascii="仿宋_GB2312" w:hAnsi="仿宋_GB2312" w:eastAsia="仿宋_GB2312" w:cs="仿宋_GB2312"/>
          <w:color w:val="auto"/>
          <w:sz w:val="32"/>
          <w:szCs w:val="32"/>
          <w:lang w:val="en-US" w:eastAsia="zh-CN"/>
        </w:rPr>
        <w:t>单位</w:t>
      </w:r>
      <w:r>
        <w:rPr>
          <w:rFonts w:hint="eastAsia" w:ascii="仿宋_GB2312" w:hAnsi="仿宋_GB2312" w:eastAsia="仿宋_GB2312" w:cs="仿宋_GB2312"/>
          <w:color w:val="auto"/>
          <w:sz w:val="32"/>
          <w:szCs w:val="32"/>
          <w:lang w:val="en-US"/>
        </w:rPr>
        <w:t>2021</w:t>
      </w:r>
      <w:r>
        <w:rPr>
          <w:rFonts w:hint="eastAsia" w:ascii="仿宋_GB2312" w:hAnsi="仿宋_GB2312" w:eastAsia="仿宋_GB2312" w:cs="仿宋_GB2312"/>
          <w:color w:val="auto"/>
          <w:sz w:val="32"/>
          <w:szCs w:val="32"/>
        </w:rPr>
        <w:t>年度一般公共预算财政拨款支出合计</w:t>
      </w:r>
      <w:r>
        <w:rPr>
          <w:rFonts w:hint="eastAsia" w:ascii="仿宋_GB2312" w:hAnsi="仿宋_GB2312" w:eastAsia="仿宋_GB2312" w:cs="仿宋_GB2312"/>
          <w:color w:val="auto"/>
          <w:sz w:val="32"/>
          <w:szCs w:val="32"/>
          <w:lang w:val="en-US"/>
        </w:rPr>
        <w:t>1,277.87</w:t>
      </w:r>
      <w:r>
        <w:rPr>
          <w:rFonts w:hint="eastAsia" w:ascii="仿宋_GB2312" w:hAnsi="仿宋_GB2312" w:eastAsia="仿宋_GB2312" w:cs="仿宋_GB2312"/>
          <w:color w:val="auto"/>
          <w:sz w:val="32"/>
          <w:szCs w:val="32"/>
        </w:rPr>
        <w:t>万元，其中：基本支出</w:t>
      </w:r>
      <w:r>
        <w:rPr>
          <w:rFonts w:hint="eastAsia" w:ascii="仿宋_GB2312" w:hAnsi="仿宋_GB2312" w:eastAsia="仿宋_GB2312" w:cs="仿宋_GB2312"/>
          <w:color w:val="auto"/>
          <w:sz w:val="32"/>
          <w:szCs w:val="32"/>
          <w:lang w:val="en-US"/>
        </w:rPr>
        <w:t>699.05</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rPr>
        <w:t>54.70%</w:t>
      </w:r>
      <w:r>
        <w:rPr>
          <w:rFonts w:hint="eastAsia" w:ascii="仿宋_GB2312" w:hAnsi="仿宋_GB2312" w:eastAsia="仿宋_GB2312" w:cs="仿宋_GB2312"/>
          <w:color w:val="auto"/>
          <w:sz w:val="32"/>
          <w:szCs w:val="32"/>
        </w:rPr>
        <w:t>；项目支出</w:t>
      </w:r>
      <w:r>
        <w:rPr>
          <w:rFonts w:hint="eastAsia" w:ascii="仿宋_GB2312" w:hAnsi="仿宋_GB2312" w:eastAsia="仿宋_GB2312" w:cs="仿宋_GB2312"/>
          <w:color w:val="auto"/>
          <w:sz w:val="32"/>
          <w:szCs w:val="32"/>
          <w:lang w:val="en-US"/>
        </w:rPr>
        <w:t>578.82</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rPr>
        <w:t>45.30%</w:t>
      </w:r>
      <w:r>
        <w:rPr>
          <w:rFonts w:hint="eastAsia" w:ascii="仿宋_GB2312" w:hAnsi="仿宋_GB2312" w:eastAsia="仿宋_GB2312" w:cs="仿宋_GB2312"/>
          <w:color w:val="auto"/>
          <w:sz w:val="32"/>
          <w:szCs w:val="32"/>
        </w:rPr>
        <w:t>。</w:t>
      </w:r>
    </w:p>
    <w:p>
      <w:pPr>
        <w:keepNext w:val="0"/>
        <w:keepLines w:val="0"/>
        <w:widowControl/>
        <w:suppressLineNumbers w:val="0"/>
        <w:autoSpaceDE w:val="0"/>
        <w:autoSpaceDN w:val="0"/>
        <w:spacing w:before="100" w:beforeAutospacing="1" w:after="100" w:afterAutospacing="1" w:line="560" w:lineRule="atLeast"/>
        <w:ind w:left="0" w:right="0"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一般公共预算财政拨款支出</w:t>
      </w:r>
      <w:r>
        <w:rPr>
          <w:rFonts w:hint="eastAsia" w:ascii="仿宋_GB2312" w:hAnsi="仿宋_GB2312" w:eastAsia="仿宋_GB2312" w:cs="仿宋_GB2312"/>
          <w:color w:val="auto"/>
          <w:sz w:val="32"/>
          <w:szCs w:val="32"/>
          <w:lang w:val="en-US"/>
        </w:rPr>
        <w:t>1,277.87</w:t>
      </w:r>
      <w:r>
        <w:rPr>
          <w:rFonts w:hint="eastAsia" w:ascii="仿宋_GB2312" w:hAnsi="仿宋_GB2312" w:eastAsia="仿宋_GB2312" w:cs="仿宋_GB2312"/>
          <w:color w:val="auto"/>
          <w:sz w:val="32"/>
          <w:szCs w:val="32"/>
        </w:rPr>
        <w:t>万元。与年初预算相比，增加</w:t>
      </w:r>
      <w:r>
        <w:rPr>
          <w:rFonts w:hint="eastAsia" w:ascii="仿宋_GB2312" w:hAnsi="仿宋_GB2312" w:eastAsia="仿宋_GB2312" w:cs="仿宋_GB2312"/>
          <w:color w:val="auto"/>
          <w:sz w:val="32"/>
          <w:szCs w:val="32"/>
          <w:lang w:val="en-US"/>
        </w:rPr>
        <w:t>253.83</w:t>
      </w:r>
      <w:r>
        <w:rPr>
          <w:rFonts w:hint="eastAsia" w:ascii="仿宋_GB2312" w:hAnsi="仿宋_GB2312" w:eastAsia="仿宋_GB2312" w:cs="仿宋_GB2312"/>
          <w:color w:val="auto"/>
          <w:sz w:val="32"/>
          <w:szCs w:val="32"/>
        </w:rPr>
        <w:t>万元，增长</w:t>
      </w:r>
      <w:r>
        <w:rPr>
          <w:rFonts w:hint="eastAsia" w:ascii="仿宋_GB2312" w:hAnsi="仿宋_GB2312" w:eastAsia="仿宋_GB2312" w:cs="仿宋_GB2312"/>
          <w:color w:val="auto"/>
          <w:sz w:val="32"/>
          <w:szCs w:val="32"/>
          <w:lang w:val="en-US"/>
        </w:rPr>
        <w:t>24.79</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rPr>
        <w:t>变动原因：</w:t>
      </w:r>
      <w:r>
        <w:rPr>
          <w:rFonts w:hint="eastAsia" w:ascii="仿宋_GB2312" w:hAnsi="仿宋_GB2312" w:eastAsia="仿宋_GB2312" w:cs="仿宋_GB2312"/>
          <w:color w:val="auto"/>
          <w:sz w:val="32"/>
          <w:szCs w:val="32"/>
          <w:lang w:val="en-US" w:eastAsia="zh-CN"/>
        </w:rPr>
        <w:t>2021年新拨入经费</w:t>
      </w:r>
      <w:r>
        <w:rPr>
          <w:rFonts w:hint="eastAsia" w:ascii="仿宋_GB2312" w:hAnsi="仿宋_GB2312" w:eastAsia="仿宋_GB2312" w:cs="仿宋_GB2312"/>
          <w:color w:val="auto"/>
          <w:sz w:val="32"/>
          <w:szCs w:val="32"/>
        </w:rPr>
        <w:t>。其中：</w:t>
      </w:r>
    </w:p>
    <w:p>
      <w:pPr>
        <w:pStyle w:val="4"/>
        <w:tabs>
          <w:tab w:val="left" w:pos="4275"/>
        </w:tabs>
        <w:spacing w:beforeLines="0" w:after="0" w:afterLines="0" w:line="578"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1．社会保障和就业支出（类）</w:t>
      </w:r>
    </w:p>
    <w:p>
      <w:pPr>
        <w:pStyle w:val="4"/>
        <w:spacing w:beforeLines="0" w:after="0" w:afterLines="0" w:line="578"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（1）．民政管理事务（款）行政运行（项）。年初预算</w:t>
      </w:r>
      <w:r>
        <w:rPr>
          <w:rFonts w:hint="eastAsia" w:ascii="仿宋_GB2312" w:hAnsi="仿宋_GB2312" w:eastAsia="仿宋_GB2312" w:cs="仿宋_GB2312"/>
          <w:color w:val="auto"/>
          <w:sz w:val="32"/>
          <w:szCs w:val="32"/>
          <w:lang w:val="en-US" w:eastAsia="zh-CN"/>
        </w:rPr>
        <w:t>460.12</w:t>
      </w:r>
      <w:r>
        <w:rPr>
          <w:rFonts w:hint="eastAsia" w:ascii="仿宋_GB2312" w:hAnsi="仿宋_GB2312" w:eastAsia="仿宋_GB2312" w:cs="仿宋_GB2312"/>
          <w:color w:val="auto"/>
          <w:sz w:val="32"/>
          <w:szCs w:val="32"/>
        </w:rPr>
        <w:t>万元，支出决算</w:t>
      </w:r>
      <w:r>
        <w:rPr>
          <w:rFonts w:hint="eastAsia" w:ascii="仿宋_GB2312" w:hAnsi="仿宋_GB2312" w:eastAsia="仿宋_GB2312" w:cs="仿宋_GB2312"/>
          <w:color w:val="auto"/>
          <w:sz w:val="32"/>
          <w:szCs w:val="32"/>
          <w:lang w:val="en-US" w:eastAsia="zh-CN"/>
        </w:rPr>
        <w:t>505.52</w:t>
      </w:r>
      <w:r>
        <w:rPr>
          <w:rFonts w:hint="eastAsia" w:ascii="仿宋_GB2312" w:hAnsi="仿宋_GB2312" w:eastAsia="仿宋_GB2312" w:cs="仿宋_GB2312"/>
          <w:color w:val="auto"/>
          <w:sz w:val="32"/>
          <w:szCs w:val="32"/>
        </w:rPr>
        <w:t>万元，完成年初预算的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%。决算数与年初预算数的差异原因：单位人员增减变动。</w:t>
      </w:r>
    </w:p>
    <w:p>
      <w:pPr>
        <w:pStyle w:val="4"/>
        <w:spacing w:beforeLines="0" w:after="0" w:afterLines="0" w:line="578"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）．民政管理事务（款）其他民政管理事务支出（项）。年初预算</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万元，支出决算</w:t>
      </w:r>
      <w:r>
        <w:rPr>
          <w:rFonts w:hint="eastAsia" w:ascii="仿宋_GB2312" w:hAnsi="仿宋_GB2312" w:eastAsia="仿宋_GB2312" w:cs="仿宋_GB2312"/>
          <w:color w:val="auto"/>
          <w:sz w:val="32"/>
          <w:szCs w:val="32"/>
          <w:lang w:val="en-US" w:eastAsia="zh-CN"/>
        </w:rPr>
        <w:t>32.74</w:t>
      </w:r>
      <w:r>
        <w:rPr>
          <w:rFonts w:hint="eastAsia" w:ascii="仿宋_GB2312" w:hAnsi="仿宋_GB2312" w:eastAsia="仿宋_GB2312" w:cs="仿宋_GB2312"/>
          <w:color w:val="auto"/>
          <w:sz w:val="32"/>
          <w:szCs w:val="32"/>
        </w:rPr>
        <w:t>万元，完成年初预算的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%。决算数与年初预算数的差异原因：</w:t>
      </w:r>
      <w:r>
        <w:rPr>
          <w:rFonts w:hint="eastAsia" w:ascii="仿宋_GB2312" w:hAnsi="仿宋_GB2312" w:eastAsia="仿宋_GB2312" w:cs="仿宋_GB2312"/>
          <w:color w:val="auto"/>
          <w:sz w:val="32"/>
          <w:szCs w:val="32"/>
          <w:lang w:val="en-US" w:eastAsia="zh-CN"/>
        </w:rPr>
        <w:t>支出为</w:t>
      </w:r>
      <w:r>
        <w:rPr>
          <w:rFonts w:hint="eastAsia" w:ascii="仿宋_GB2312" w:hAnsi="仿宋_GB2312" w:eastAsia="仿宋_GB2312" w:cs="仿宋_GB2312"/>
          <w:color w:val="auto"/>
          <w:sz w:val="32"/>
          <w:szCs w:val="32"/>
        </w:rPr>
        <w:t>项目资金结余部分。</w:t>
      </w:r>
    </w:p>
    <w:p>
      <w:pPr>
        <w:pStyle w:val="4"/>
        <w:spacing w:beforeLines="0" w:after="0" w:afterLines="0" w:line="578"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）．行政事业单位养老支出（款）行政单位离退休（项）。年初预算</w:t>
      </w:r>
      <w:r>
        <w:rPr>
          <w:rFonts w:hint="eastAsia" w:ascii="仿宋_GB2312" w:hAnsi="仿宋_GB2312" w:eastAsia="仿宋_GB2312" w:cs="仿宋_GB2312"/>
          <w:color w:val="auto"/>
          <w:sz w:val="32"/>
          <w:szCs w:val="32"/>
          <w:lang w:val="en-US" w:eastAsia="zh-CN"/>
        </w:rPr>
        <w:t>16.11</w:t>
      </w:r>
      <w:r>
        <w:rPr>
          <w:rFonts w:hint="eastAsia" w:ascii="仿宋_GB2312" w:hAnsi="仿宋_GB2312" w:eastAsia="仿宋_GB2312" w:cs="仿宋_GB2312"/>
          <w:color w:val="auto"/>
          <w:sz w:val="32"/>
          <w:szCs w:val="32"/>
        </w:rPr>
        <w:t>万元，支出决算</w:t>
      </w:r>
      <w:r>
        <w:rPr>
          <w:rFonts w:hint="eastAsia" w:ascii="仿宋_GB2312" w:hAnsi="仿宋_GB2312" w:eastAsia="仿宋_GB2312" w:cs="仿宋_GB2312"/>
          <w:color w:val="auto"/>
          <w:sz w:val="32"/>
          <w:szCs w:val="32"/>
          <w:lang w:val="en-US" w:eastAsia="zh-CN"/>
        </w:rPr>
        <w:t>39.26</w:t>
      </w:r>
      <w:r>
        <w:rPr>
          <w:rFonts w:hint="eastAsia" w:ascii="仿宋_GB2312" w:hAnsi="仿宋_GB2312" w:eastAsia="仿宋_GB2312" w:cs="仿宋_GB2312"/>
          <w:color w:val="auto"/>
          <w:sz w:val="32"/>
          <w:szCs w:val="32"/>
        </w:rPr>
        <w:t>万元，完成年初预算的100%。决算数与年初预算数的差异原因：离休干部丧葬费及抚恤金。</w:t>
      </w:r>
    </w:p>
    <w:p>
      <w:pPr>
        <w:pStyle w:val="4"/>
        <w:spacing w:beforeLines="0" w:after="0" w:afterLines="0" w:line="578"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）．行政事业单位养老支出（款）机关事业单位基本养老保险缴费支出（项）。年初预算</w:t>
      </w:r>
      <w:r>
        <w:rPr>
          <w:rFonts w:hint="eastAsia" w:ascii="仿宋_GB2312" w:hAnsi="仿宋_GB2312" w:eastAsia="仿宋_GB2312" w:cs="仿宋_GB2312"/>
          <w:color w:val="auto"/>
          <w:sz w:val="32"/>
          <w:szCs w:val="32"/>
          <w:lang w:val="en-US" w:eastAsia="zh-CN"/>
        </w:rPr>
        <w:t>53.76</w:t>
      </w:r>
      <w:r>
        <w:rPr>
          <w:rFonts w:hint="eastAsia" w:ascii="仿宋_GB2312" w:hAnsi="仿宋_GB2312" w:eastAsia="仿宋_GB2312" w:cs="仿宋_GB2312"/>
          <w:color w:val="auto"/>
          <w:sz w:val="32"/>
          <w:szCs w:val="32"/>
        </w:rPr>
        <w:t>万元，支出决算</w:t>
      </w:r>
      <w:r>
        <w:rPr>
          <w:rFonts w:hint="eastAsia" w:ascii="仿宋_GB2312" w:hAnsi="仿宋_GB2312" w:eastAsia="仿宋_GB2312" w:cs="仿宋_GB2312"/>
          <w:color w:val="auto"/>
          <w:sz w:val="32"/>
          <w:szCs w:val="32"/>
          <w:lang w:val="en-US" w:eastAsia="zh-CN"/>
        </w:rPr>
        <w:t>55.53</w:t>
      </w:r>
      <w:r>
        <w:rPr>
          <w:rFonts w:hint="eastAsia" w:ascii="仿宋_GB2312" w:hAnsi="仿宋_GB2312" w:eastAsia="仿宋_GB2312" w:cs="仿宋_GB2312"/>
          <w:color w:val="auto"/>
          <w:sz w:val="32"/>
          <w:szCs w:val="32"/>
        </w:rPr>
        <w:t>万元，完成年初预算的100%。决算数与年初预算数的差异原因：单位人员增减变动。</w:t>
      </w:r>
    </w:p>
    <w:p>
      <w:pPr>
        <w:pStyle w:val="4"/>
        <w:spacing w:beforeLines="0" w:after="0" w:afterLines="0" w:line="578"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）．行政事业单位养老支出（款）机关事业单位职业年金缴费支出（项）。年初预算0万元，支出决算</w:t>
      </w:r>
      <w:r>
        <w:rPr>
          <w:rFonts w:hint="eastAsia" w:ascii="仿宋_GB2312" w:hAnsi="仿宋_GB2312" w:eastAsia="仿宋_GB2312" w:cs="仿宋_GB2312"/>
          <w:color w:val="auto"/>
          <w:sz w:val="32"/>
          <w:szCs w:val="32"/>
          <w:lang w:val="en-US" w:eastAsia="zh-CN"/>
        </w:rPr>
        <w:t>26.43</w:t>
      </w:r>
      <w:r>
        <w:rPr>
          <w:rFonts w:hint="eastAsia" w:ascii="仿宋_GB2312" w:hAnsi="仿宋_GB2312" w:eastAsia="仿宋_GB2312" w:cs="仿宋_GB2312"/>
          <w:color w:val="auto"/>
          <w:sz w:val="32"/>
          <w:szCs w:val="32"/>
        </w:rPr>
        <w:t>万元，完成年初预算的100%。决算数与年初预算数的差异原因：202</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年未拨入职业年金预算。</w:t>
      </w:r>
    </w:p>
    <w:p>
      <w:pPr>
        <w:pStyle w:val="4"/>
        <w:spacing w:beforeLines="0" w:after="0" w:afterLines="0" w:line="578"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）．行政事业单位养老支出（款）</w:t>
      </w:r>
      <w:r>
        <w:rPr>
          <w:rFonts w:hint="eastAsia" w:ascii="仿宋_GB2312" w:hAnsi="仿宋_GB2312" w:eastAsia="仿宋_GB2312" w:cs="仿宋_GB2312"/>
          <w:color w:val="auto"/>
          <w:sz w:val="32"/>
          <w:szCs w:val="32"/>
          <w:lang w:val="en-US" w:eastAsia="zh-CN"/>
        </w:rPr>
        <w:t>对</w:t>
      </w:r>
      <w:r>
        <w:rPr>
          <w:rFonts w:hint="eastAsia" w:ascii="仿宋_GB2312" w:hAnsi="仿宋_GB2312" w:eastAsia="仿宋_GB2312" w:cs="仿宋_GB2312"/>
          <w:color w:val="auto"/>
          <w:sz w:val="32"/>
          <w:szCs w:val="32"/>
        </w:rPr>
        <w:t>机关事业单位职业年金</w:t>
      </w:r>
      <w:r>
        <w:rPr>
          <w:rFonts w:hint="eastAsia" w:ascii="仿宋_GB2312" w:hAnsi="仿宋_GB2312" w:eastAsia="仿宋_GB2312" w:cs="仿宋_GB2312"/>
          <w:color w:val="auto"/>
          <w:sz w:val="32"/>
          <w:szCs w:val="32"/>
          <w:lang w:val="en-US" w:eastAsia="zh-CN"/>
        </w:rPr>
        <w:t>的补助</w:t>
      </w:r>
      <w:r>
        <w:rPr>
          <w:rFonts w:hint="eastAsia" w:ascii="仿宋_GB2312" w:hAnsi="仿宋_GB2312" w:eastAsia="仿宋_GB2312" w:cs="仿宋_GB2312"/>
          <w:color w:val="auto"/>
          <w:sz w:val="32"/>
          <w:szCs w:val="32"/>
        </w:rPr>
        <w:t>（项）。年初预算0万元，支出决算</w:t>
      </w:r>
      <w:r>
        <w:rPr>
          <w:rFonts w:hint="eastAsia" w:ascii="仿宋_GB2312" w:hAnsi="仿宋_GB2312" w:eastAsia="仿宋_GB2312" w:cs="仿宋_GB2312"/>
          <w:color w:val="auto"/>
          <w:sz w:val="32"/>
          <w:szCs w:val="32"/>
          <w:lang w:val="en-US" w:eastAsia="zh-CN"/>
        </w:rPr>
        <w:t>5.33</w:t>
      </w:r>
      <w:r>
        <w:rPr>
          <w:rFonts w:hint="eastAsia" w:ascii="仿宋_GB2312" w:hAnsi="仿宋_GB2312" w:eastAsia="仿宋_GB2312" w:cs="仿宋_GB2312"/>
          <w:color w:val="auto"/>
          <w:sz w:val="32"/>
          <w:szCs w:val="32"/>
        </w:rPr>
        <w:t>万元，完成年初预算的100%。决算数与年初预算数的差异原因：202</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年未拨入职业年金预算。</w:t>
      </w:r>
    </w:p>
    <w:p>
      <w:pPr>
        <w:pStyle w:val="4"/>
        <w:spacing w:beforeLines="0" w:after="0" w:afterLines="0" w:line="578"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（7）．社会福利（款）其他社会福利支出（项）。年初预算0万元，支出决算</w:t>
      </w:r>
      <w:r>
        <w:rPr>
          <w:rFonts w:hint="eastAsia" w:ascii="仿宋_GB2312" w:hAnsi="仿宋_GB2312" w:eastAsia="仿宋_GB2312" w:cs="仿宋_GB2312"/>
          <w:color w:val="auto"/>
          <w:sz w:val="32"/>
          <w:szCs w:val="32"/>
          <w:lang w:val="en-US" w:eastAsia="zh-CN"/>
        </w:rPr>
        <w:t>12.31</w:t>
      </w:r>
      <w:r>
        <w:rPr>
          <w:rFonts w:hint="eastAsia" w:ascii="仿宋_GB2312" w:hAnsi="仿宋_GB2312" w:eastAsia="仿宋_GB2312" w:cs="仿宋_GB2312"/>
          <w:color w:val="auto"/>
          <w:sz w:val="32"/>
          <w:szCs w:val="32"/>
        </w:rPr>
        <w:t>万元，完成年初预算的100%。决算数与年初预算数的差异原因：202</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年后续拨入资金。</w:t>
      </w:r>
    </w:p>
    <w:p>
      <w:pPr>
        <w:pStyle w:val="4"/>
        <w:spacing w:after="0" w:line="578"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）．社会福利（款）殡葬（项）。年初预算</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万元，支出决算</w:t>
      </w:r>
      <w:r>
        <w:rPr>
          <w:rFonts w:hint="eastAsia" w:ascii="仿宋_GB2312" w:hAnsi="仿宋_GB2312" w:eastAsia="仿宋_GB2312" w:cs="仿宋_GB2312"/>
          <w:color w:val="auto"/>
          <w:sz w:val="32"/>
          <w:szCs w:val="32"/>
          <w:lang w:val="en-US" w:eastAsia="zh-CN"/>
        </w:rPr>
        <w:t>54</w:t>
      </w:r>
      <w:r>
        <w:rPr>
          <w:rFonts w:hint="eastAsia" w:ascii="仿宋_GB2312" w:hAnsi="仿宋_GB2312" w:eastAsia="仿宋_GB2312" w:cs="仿宋_GB2312"/>
          <w:color w:val="auto"/>
          <w:sz w:val="32"/>
          <w:szCs w:val="32"/>
        </w:rPr>
        <w:t>万元，完成年初预算的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%。决算数与年初预算数的差异原因：202</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年后续拨入资金。</w:t>
      </w:r>
    </w:p>
    <w:p>
      <w:pPr>
        <w:pStyle w:val="4"/>
        <w:spacing w:after="0" w:line="578"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）．其他社会保障和就业支出（类）其他社会保障和就业支出（项）年初预算0万元，决算支出数</w:t>
      </w:r>
      <w:r>
        <w:rPr>
          <w:rFonts w:hint="eastAsia" w:ascii="仿宋_GB2312" w:hAnsi="仿宋_GB2312" w:eastAsia="仿宋_GB2312" w:cs="仿宋_GB2312"/>
          <w:color w:val="auto"/>
          <w:sz w:val="32"/>
          <w:szCs w:val="32"/>
          <w:lang w:val="en-US" w:eastAsia="zh-CN"/>
        </w:rPr>
        <w:t>425</w:t>
      </w:r>
      <w:r>
        <w:rPr>
          <w:rFonts w:hint="eastAsia" w:ascii="仿宋_GB2312" w:hAnsi="仿宋_GB2312" w:eastAsia="仿宋_GB2312" w:cs="仿宋_GB2312"/>
          <w:color w:val="auto"/>
          <w:sz w:val="32"/>
          <w:szCs w:val="32"/>
        </w:rPr>
        <w:t>万元。决算数与年初预算数的差异原因：202</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年新下拨</w:t>
      </w:r>
      <w:r>
        <w:rPr>
          <w:rFonts w:hint="eastAsia" w:ascii="仿宋" w:hAnsi="仿宋" w:eastAsia="仿宋" w:cs="仿宋"/>
          <w:color w:val="auto"/>
          <w:sz w:val="32"/>
          <w:szCs w:val="32"/>
          <w:lang w:val="en-US" w:eastAsia="zh-CN"/>
        </w:rPr>
        <w:t>困难群众</w:t>
      </w:r>
      <w:r>
        <w:rPr>
          <w:rFonts w:hint="eastAsia" w:ascii="仿宋" w:hAnsi="仿宋" w:eastAsia="仿宋" w:cs="仿宋"/>
          <w:color w:val="auto"/>
          <w:sz w:val="32"/>
          <w:szCs w:val="32"/>
        </w:rPr>
        <w:t>救助资金</w:t>
      </w:r>
      <w:r>
        <w:rPr>
          <w:rFonts w:hint="eastAsia" w:ascii="仿宋_GB2312" w:hAnsi="仿宋_GB2312" w:eastAsia="仿宋_GB2312" w:cs="仿宋_GB2312"/>
          <w:color w:val="auto"/>
          <w:sz w:val="32"/>
          <w:szCs w:val="32"/>
        </w:rPr>
        <w:t>。</w:t>
      </w:r>
    </w:p>
    <w:p>
      <w:pPr>
        <w:pStyle w:val="4"/>
        <w:tabs>
          <w:tab w:val="left" w:pos="4275"/>
        </w:tabs>
        <w:spacing w:beforeLines="0" w:after="0" w:afterLines="0" w:line="578"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2．卫生健康支出（类）</w:t>
      </w:r>
    </w:p>
    <w:p>
      <w:pPr>
        <w:pStyle w:val="4"/>
        <w:spacing w:beforeLines="0" w:after="0" w:afterLines="0" w:line="578"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（1）．行政事业单位医疗（款）行政单位医疗（项）。年初预算</w:t>
      </w:r>
      <w:r>
        <w:rPr>
          <w:rFonts w:hint="eastAsia" w:ascii="仿宋_GB2312" w:hAnsi="仿宋_GB2312" w:eastAsia="仿宋_GB2312" w:cs="仿宋_GB2312"/>
          <w:color w:val="auto"/>
          <w:sz w:val="32"/>
          <w:szCs w:val="32"/>
          <w:lang w:val="en-US" w:eastAsia="zh-CN"/>
        </w:rPr>
        <w:t>28.73</w:t>
      </w:r>
      <w:r>
        <w:rPr>
          <w:rFonts w:hint="eastAsia" w:ascii="仿宋_GB2312" w:hAnsi="仿宋_GB2312" w:eastAsia="仿宋_GB2312" w:cs="仿宋_GB2312"/>
          <w:color w:val="auto"/>
          <w:sz w:val="32"/>
          <w:szCs w:val="32"/>
        </w:rPr>
        <w:t>万元，支出决算</w:t>
      </w:r>
      <w:r>
        <w:rPr>
          <w:rFonts w:hint="eastAsia" w:ascii="仿宋_GB2312" w:hAnsi="仿宋_GB2312" w:eastAsia="仿宋_GB2312" w:cs="仿宋_GB2312"/>
          <w:color w:val="auto"/>
          <w:sz w:val="32"/>
          <w:szCs w:val="32"/>
          <w:lang w:val="en-US" w:eastAsia="zh-CN"/>
        </w:rPr>
        <w:t>28.7</w:t>
      </w:r>
      <w:r>
        <w:rPr>
          <w:rFonts w:hint="eastAsia" w:ascii="仿宋_GB2312" w:hAnsi="仿宋_GB2312" w:eastAsia="仿宋_GB2312" w:cs="仿宋_GB2312"/>
          <w:color w:val="auto"/>
          <w:sz w:val="32"/>
          <w:szCs w:val="32"/>
        </w:rPr>
        <w:t xml:space="preserve">万元，完成年初预算的 </w:t>
      </w:r>
      <w:r>
        <w:rPr>
          <w:rFonts w:hint="eastAsia" w:ascii="仿宋_GB2312" w:hAnsi="仿宋_GB2312" w:eastAsia="仿宋_GB2312" w:cs="仿宋_GB2312"/>
          <w:color w:val="auto"/>
          <w:sz w:val="32"/>
          <w:szCs w:val="32"/>
          <w:lang w:val="en-US" w:eastAsia="zh-CN"/>
        </w:rPr>
        <w:t>99.90</w:t>
      </w:r>
      <w:r>
        <w:rPr>
          <w:rFonts w:hint="eastAsia" w:ascii="仿宋_GB2312" w:hAnsi="仿宋_GB2312" w:eastAsia="仿宋_GB2312" w:cs="仿宋_GB2312"/>
          <w:color w:val="auto"/>
          <w:sz w:val="32"/>
          <w:szCs w:val="32"/>
        </w:rPr>
        <w:t>%。决算数与年初预算数的差异原因：单位人员增减变动。</w:t>
      </w:r>
    </w:p>
    <w:p>
      <w:pPr>
        <w:pStyle w:val="4"/>
        <w:spacing w:beforeLines="0" w:after="0" w:afterLines="0" w:line="578"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3.城乡社区支出（类）</w:t>
      </w:r>
    </w:p>
    <w:p>
      <w:pPr>
        <w:pStyle w:val="4"/>
        <w:spacing w:after="0" w:line="578" w:lineRule="exact"/>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城乡社区管理事务</w:t>
      </w:r>
      <w:r>
        <w:rPr>
          <w:rFonts w:hint="eastAsia" w:ascii="仿宋_GB2312" w:hAnsi="仿宋_GB2312" w:eastAsia="仿宋_GB2312" w:cs="仿宋_GB2312"/>
          <w:color w:val="auto"/>
          <w:sz w:val="32"/>
          <w:szCs w:val="32"/>
        </w:rPr>
        <w:t>（款）</w:t>
      </w:r>
      <w:r>
        <w:rPr>
          <w:rFonts w:hint="eastAsia" w:ascii="仿宋_GB2312" w:hAnsi="仿宋_GB2312" w:eastAsia="仿宋_GB2312" w:cs="仿宋_GB2312"/>
          <w:color w:val="auto"/>
          <w:sz w:val="32"/>
          <w:szCs w:val="32"/>
          <w:lang w:val="en-US" w:eastAsia="zh-CN"/>
        </w:rPr>
        <w:t>其他城乡社区管理事务支出</w:t>
      </w:r>
      <w:r>
        <w:rPr>
          <w:rFonts w:hint="eastAsia" w:ascii="仿宋_GB2312" w:hAnsi="仿宋_GB2312" w:eastAsia="仿宋_GB2312" w:cs="仿宋_GB2312"/>
          <w:color w:val="auto"/>
          <w:sz w:val="32"/>
          <w:szCs w:val="32"/>
        </w:rPr>
        <w:t>（项）。年初预算0万元，支出决算</w:t>
      </w:r>
      <w:r>
        <w:rPr>
          <w:rFonts w:hint="eastAsia" w:ascii="仿宋_GB2312" w:hAnsi="仿宋_GB2312" w:eastAsia="仿宋_GB2312" w:cs="仿宋_GB2312"/>
          <w:color w:val="auto"/>
          <w:sz w:val="32"/>
          <w:szCs w:val="32"/>
          <w:lang w:val="en-US" w:eastAsia="zh-CN"/>
        </w:rPr>
        <w:t>0.3</w:t>
      </w:r>
      <w:r>
        <w:rPr>
          <w:rFonts w:hint="eastAsia" w:ascii="仿宋_GB2312" w:hAnsi="仿宋_GB2312" w:eastAsia="仿宋_GB2312" w:cs="仿宋_GB2312"/>
          <w:color w:val="auto"/>
          <w:sz w:val="32"/>
          <w:szCs w:val="32"/>
        </w:rPr>
        <w:t>万元，完成年初预算的100%。决算数与年初预算数的差异原因：</w:t>
      </w:r>
      <w:r>
        <w:rPr>
          <w:rFonts w:hint="eastAsia" w:ascii="仿宋_GB2312" w:hAnsi="仿宋_GB2312" w:eastAsia="仿宋_GB2312" w:cs="仿宋_GB2312"/>
          <w:color w:val="auto"/>
          <w:sz w:val="32"/>
          <w:szCs w:val="32"/>
          <w:lang w:val="en-US" w:eastAsia="zh-CN"/>
        </w:rPr>
        <w:t>2021年又拨入项目经费。</w:t>
      </w:r>
    </w:p>
    <w:p>
      <w:pPr>
        <w:pStyle w:val="4"/>
        <w:tabs>
          <w:tab w:val="left" w:pos="4275"/>
        </w:tabs>
        <w:spacing w:beforeLines="0" w:after="0" w:afterLines="0" w:line="578"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．住房保障支出（类）</w:t>
      </w:r>
    </w:p>
    <w:p>
      <w:pPr>
        <w:pStyle w:val="4"/>
        <w:spacing w:beforeLines="0" w:after="0" w:afterLines="0" w:line="578"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（1）．住房改革支出（款）住房公积金（项）。年初预算 39.60  万元，支出决算</w:t>
      </w:r>
      <w:r>
        <w:rPr>
          <w:rFonts w:hint="eastAsia" w:ascii="仿宋_GB2312" w:hAnsi="仿宋_GB2312" w:eastAsia="仿宋_GB2312" w:cs="仿宋_GB2312"/>
          <w:color w:val="auto"/>
          <w:sz w:val="32"/>
          <w:szCs w:val="32"/>
          <w:lang w:val="en-US" w:eastAsia="zh-CN"/>
        </w:rPr>
        <w:t>39.98</w:t>
      </w:r>
      <w:r>
        <w:rPr>
          <w:rFonts w:hint="eastAsia" w:ascii="仿宋_GB2312" w:hAnsi="仿宋_GB2312" w:eastAsia="仿宋_GB2312" w:cs="仿宋_GB2312"/>
          <w:color w:val="auto"/>
          <w:sz w:val="32"/>
          <w:szCs w:val="32"/>
        </w:rPr>
        <w:t>万元，完成年初预算的94.42%。决算数与年初预算数的差异原因：单位人员增减变动。</w:t>
      </w:r>
    </w:p>
    <w:p>
      <w:pPr>
        <w:pStyle w:val="4"/>
        <w:tabs>
          <w:tab w:val="left" w:pos="4275"/>
        </w:tabs>
        <w:spacing w:beforeLines="0" w:after="0" w:afterLines="0" w:line="578"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5．其他支出（类）</w:t>
      </w:r>
    </w:p>
    <w:p>
      <w:pPr>
        <w:pStyle w:val="4"/>
        <w:spacing w:beforeLines="0" w:after="0" w:afterLines="0" w:line="578" w:lineRule="exact"/>
        <w:ind w:firstLine="640" w:firstLineChars="200"/>
        <w:rPr>
          <w:color w:val="auto"/>
        </w:rPr>
      </w:pPr>
      <w:r>
        <w:rPr>
          <w:rFonts w:hint="eastAsia" w:ascii="仿宋_GB2312" w:hAnsi="仿宋_GB2312" w:eastAsia="仿宋_GB2312" w:cs="仿宋_GB2312"/>
          <w:color w:val="auto"/>
          <w:sz w:val="32"/>
          <w:szCs w:val="32"/>
        </w:rPr>
        <w:t>（1）．其他支出（款）其他务支出（项）。年初预算0万元，支出决算</w:t>
      </w:r>
      <w:r>
        <w:rPr>
          <w:rFonts w:hint="eastAsia" w:ascii="仿宋_GB2312" w:hAnsi="仿宋_GB2312" w:eastAsia="仿宋_GB2312" w:cs="仿宋_GB2312"/>
          <w:color w:val="auto"/>
          <w:sz w:val="32"/>
          <w:szCs w:val="32"/>
          <w:lang w:val="en-US" w:eastAsia="zh-CN"/>
        </w:rPr>
        <w:t>54.47</w:t>
      </w:r>
      <w:r>
        <w:rPr>
          <w:rFonts w:hint="eastAsia" w:ascii="仿宋_GB2312" w:hAnsi="仿宋_GB2312" w:eastAsia="仿宋_GB2312" w:cs="仿宋_GB2312"/>
          <w:color w:val="auto"/>
          <w:sz w:val="32"/>
          <w:szCs w:val="32"/>
        </w:rPr>
        <w:t>万元，完成年初预算的100%。决算数与年初预算数的差异原因：新拨入的信创工程替代款。</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楷体" w:hAnsi="楷体" w:eastAsia="楷体" w:cs="楷体"/>
          <w:b/>
          <w:bCs/>
          <w:color w:val="auto"/>
          <w:sz w:val="32"/>
          <w:szCs w:val="32"/>
        </w:rPr>
        <w:t>（六）关于</w:t>
      </w:r>
      <w:r>
        <w:rPr>
          <w:rFonts w:hint="eastAsia" w:ascii="楷体" w:hAnsi="楷体" w:eastAsia="楷体" w:cs="楷体"/>
          <w:b/>
          <w:bCs/>
          <w:color w:val="auto"/>
          <w:sz w:val="32"/>
          <w:szCs w:val="32"/>
          <w:lang w:val="en-US"/>
        </w:rPr>
        <w:t>2021</w:t>
      </w:r>
      <w:r>
        <w:rPr>
          <w:rFonts w:hint="eastAsia" w:ascii="楷体" w:hAnsi="楷体" w:eastAsia="楷体" w:cs="楷体"/>
          <w:b/>
          <w:bCs/>
          <w:color w:val="auto"/>
          <w:sz w:val="32"/>
          <w:szCs w:val="32"/>
        </w:rPr>
        <w:t>年度一般公共预算财政拨款基本支出决算情况说明</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本</w:t>
      </w:r>
      <w:r>
        <w:rPr>
          <w:rFonts w:hint="eastAsia" w:ascii="仿宋_GB2312" w:eastAsia="仿宋_GB2312" w:cs="仿宋_GB2312"/>
          <w:color w:val="auto"/>
          <w:sz w:val="32"/>
          <w:szCs w:val="32"/>
          <w:lang w:val="en-US" w:eastAsia="zh-CN"/>
        </w:rPr>
        <w:t>单位</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年度一般公共预算财政拨款基本支出</w:t>
      </w:r>
      <w:r>
        <w:rPr>
          <w:rFonts w:hint="eastAsia" w:ascii="仿宋_GB2312" w:eastAsia="仿宋_GB2312" w:cs="仿宋_GB2312"/>
          <w:color w:val="auto"/>
          <w:sz w:val="32"/>
          <w:szCs w:val="32"/>
          <w:lang w:val="en-US"/>
        </w:rPr>
        <w:t>699.05</w:t>
      </w:r>
      <w:r>
        <w:rPr>
          <w:rFonts w:hint="eastAsia" w:ascii="仿宋_GB2312" w:eastAsia="仿宋_GB2312" w:cs="仿宋_GB2312"/>
          <w:color w:val="auto"/>
          <w:sz w:val="32"/>
          <w:szCs w:val="32"/>
        </w:rPr>
        <w:t>万元，其中：人员经费</w:t>
      </w:r>
      <w:r>
        <w:rPr>
          <w:rFonts w:hint="eastAsia" w:ascii="仿宋_GB2312" w:eastAsia="仿宋_GB2312" w:cs="仿宋_GB2312"/>
          <w:color w:val="auto"/>
          <w:sz w:val="32"/>
          <w:szCs w:val="32"/>
          <w:lang w:val="en-US"/>
        </w:rPr>
        <w:t>638.27</w:t>
      </w:r>
      <w:r>
        <w:rPr>
          <w:rFonts w:hint="eastAsia" w:ascii="仿宋_GB2312" w:eastAsia="仿宋_GB2312" w:cs="仿宋_GB2312"/>
          <w:color w:val="auto"/>
          <w:sz w:val="32"/>
          <w:szCs w:val="32"/>
        </w:rPr>
        <w:t>万元，主要包括：基本工资</w:t>
      </w:r>
      <w:r>
        <w:rPr>
          <w:rFonts w:hint="eastAsia" w:ascii="仿宋_GB2312" w:eastAsia="仿宋_GB2312" w:cs="仿宋_GB2312"/>
          <w:color w:val="auto"/>
          <w:sz w:val="32"/>
          <w:szCs w:val="32"/>
          <w:lang w:val="en-US" w:eastAsia="zh-CN"/>
        </w:rPr>
        <w:t>183.36万元</w:t>
      </w:r>
      <w:r>
        <w:rPr>
          <w:rFonts w:hint="eastAsia" w:ascii="仿宋_GB2312" w:eastAsia="仿宋_GB2312" w:cs="仿宋_GB2312"/>
          <w:color w:val="auto"/>
          <w:sz w:val="32"/>
          <w:szCs w:val="32"/>
        </w:rPr>
        <w:t>、津贴补贴</w:t>
      </w:r>
      <w:r>
        <w:rPr>
          <w:rFonts w:hint="eastAsia" w:ascii="仿宋_GB2312" w:eastAsia="仿宋_GB2312" w:cs="仿宋_GB2312"/>
          <w:color w:val="auto"/>
          <w:sz w:val="32"/>
          <w:szCs w:val="32"/>
          <w:lang w:val="en-US" w:eastAsia="zh-CN"/>
        </w:rPr>
        <w:t>245.41万元</w:t>
      </w:r>
      <w:r>
        <w:rPr>
          <w:rFonts w:hint="eastAsia" w:ascii="仿宋_GB2312" w:eastAsia="仿宋_GB2312" w:cs="仿宋_GB2312"/>
          <w:color w:val="auto"/>
          <w:sz w:val="32"/>
          <w:szCs w:val="32"/>
        </w:rPr>
        <w:t>、奖金</w:t>
      </w:r>
      <w:r>
        <w:rPr>
          <w:rFonts w:hint="eastAsia" w:ascii="仿宋_GB2312" w:eastAsia="仿宋_GB2312" w:cs="仿宋_GB2312"/>
          <w:color w:val="auto"/>
          <w:sz w:val="32"/>
          <w:szCs w:val="32"/>
          <w:lang w:val="en-US" w:eastAsia="zh-CN"/>
        </w:rPr>
        <w:t>13.01万元</w:t>
      </w:r>
      <w:r>
        <w:rPr>
          <w:rFonts w:hint="eastAsia" w:ascii="仿宋_GB2312" w:eastAsia="仿宋_GB2312" w:cs="仿宋_GB2312"/>
          <w:color w:val="auto"/>
          <w:sz w:val="32"/>
          <w:szCs w:val="32"/>
        </w:rPr>
        <w:t>、</w:t>
      </w:r>
      <w:r>
        <w:rPr>
          <w:rFonts w:hint="eastAsia" w:ascii="仿宋_GB2312" w:eastAsia="仿宋_GB2312" w:cs="仿宋_GB2312"/>
          <w:color w:val="auto"/>
          <w:sz w:val="32"/>
          <w:szCs w:val="32"/>
          <w:lang w:val="en-US" w:eastAsia="zh-CN"/>
        </w:rPr>
        <w:t>机关事业单位基本养老保险缴费55.53万元、职业年金缴费31.76万元、职工基本医疗保险缴费27.26万元、公务员医疗补助缴费1.44万元、其他</w:t>
      </w:r>
      <w:r>
        <w:rPr>
          <w:rFonts w:hint="eastAsia" w:ascii="仿宋_GB2312" w:eastAsia="仿宋_GB2312" w:cs="仿宋_GB2312"/>
          <w:color w:val="auto"/>
          <w:sz w:val="32"/>
          <w:szCs w:val="32"/>
        </w:rPr>
        <w:t>社会保障缴费</w:t>
      </w:r>
      <w:r>
        <w:rPr>
          <w:rFonts w:hint="eastAsia" w:ascii="仿宋_GB2312" w:eastAsia="仿宋_GB2312" w:cs="仿宋_GB2312"/>
          <w:color w:val="auto"/>
          <w:sz w:val="32"/>
          <w:szCs w:val="32"/>
          <w:lang w:val="en-US" w:eastAsia="zh-CN"/>
        </w:rPr>
        <w:t>0.67万元、住房公积金39.98万元、退休费9.58万元、抚恤金17.76万元、生活补助7.6万元、其他对个人和家庭的补助支出4.91万元</w:t>
      </w:r>
      <w:r>
        <w:rPr>
          <w:rFonts w:hint="eastAsia" w:ascii="仿宋_GB2312" w:eastAsia="仿宋_GB2312" w:cs="仿宋_GB2312"/>
          <w:color w:val="auto"/>
          <w:sz w:val="32"/>
          <w:szCs w:val="32"/>
        </w:rPr>
        <w:t>，，较上年减少</w:t>
      </w:r>
      <w:r>
        <w:rPr>
          <w:rFonts w:hint="eastAsia" w:ascii="仿宋_GB2312" w:eastAsia="仿宋_GB2312" w:cs="仿宋_GB2312"/>
          <w:color w:val="auto"/>
          <w:sz w:val="32"/>
          <w:szCs w:val="32"/>
          <w:lang w:val="en-US"/>
        </w:rPr>
        <w:t>318.82</w:t>
      </w:r>
      <w:r>
        <w:rPr>
          <w:rFonts w:hint="eastAsia" w:ascii="仿宋_GB2312" w:eastAsia="仿宋_GB2312" w:cs="仿宋_GB2312"/>
          <w:color w:val="auto"/>
          <w:sz w:val="32"/>
          <w:szCs w:val="32"/>
        </w:rPr>
        <w:t>万元，主要原因是：</w:t>
      </w:r>
      <w:r>
        <w:rPr>
          <w:rFonts w:hint="eastAsia" w:ascii="仿宋_GB2312" w:eastAsia="仿宋_GB2312" w:cs="仿宋_GB2312"/>
          <w:color w:val="auto"/>
          <w:sz w:val="32"/>
          <w:szCs w:val="32"/>
          <w:lang w:val="en-US" w:eastAsia="zh-CN"/>
        </w:rPr>
        <w:t>上年补缴养老保险</w:t>
      </w:r>
      <w:r>
        <w:rPr>
          <w:rFonts w:hint="eastAsia" w:ascii="仿宋_GB2312" w:eastAsia="仿宋_GB2312" w:cs="仿宋_GB2312"/>
          <w:color w:val="auto"/>
          <w:sz w:val="32"/>
          <w:szCs w:val="32"/>
        </w:rPr>
        <w:t>；公用经费</w:t>
      </w:r>
      <w:r>
        <w:rPr>
          <w:rFonts w:hint="eastAsia" w:ascii="仿宋_GB2312" w:eastAsia="仿宋_GB2312" w:cs="仿宋_GB2312"/>
          <w:color w:val="auto"/>
          <w:sz w:val="32"/>
          <w:szCs w:val="32"/>
          <w:lang w:val="en-US"/>
        </w:rPr>
        <w:t>60.78</w:t>
      </w:r>
      <w:r>
        <w:rPr>
          <w:rFonts w:hint="eastAsia" w:ascii="仿宋_GB2312" w:eastAsia="仿宋_GB2312" w:cs="仿宋_GB2312"/>
          <w:color w:val="auto"/>
          <w:sz w:val="32"/>
          <w:szCs w:val="32"/>
        </w:rPr>
        <w:t>万元，主要包括：办公费</w:t>
      </w:r>
      <w:r>
        <w:rPr>
          <w:rFonts w:hint="eastAsia" w:ascii="仿宋_GB2312" w:eastAsia="仿宋_GB2312" w:cs="仿宋_GB2312"/>
          <w:color w:val="auto"/>
          <w:sz w:val="32"/>
          <w:szCs w:val="32"/>
          <w:lang w:val="en-US" w:eastAsia="zh-CN"/>
        </w:rPr>
        <w:t>6.74万元</w:t>
      </w:r>
      <w:r>
        <w:rPr>
          <w:rFonts w:hint="eastAsia" w:ascii="仿宋_GB2312" w:eastAsia="仿宋_GB2312" w:cs="仿宋_GB2312"/>
          <w:color w:val="auto"/>
          <w:sz w:val="32"/>
          <w:szCs w:val="32"/>
        </w:rPr>
        <w:t>、</w:t>
      </w:r>
      <w:r>
        <w:rPr>
          <w:rFonts w:hint="eastAsia" w:ascii="仿宋_GB2312" w:eastAsia="仿宋_GB2312" w:cs="仿宋_GB2312"/>
          <w:color w:val="auto"/>
          <w:sz w:val="32"/>
          <w:szCs w:val="32"/>
          <w:lang w:val="en-US" w:eastAsia="zh-CN"/>
        </w:rPr>
        <w:t>邮电费1.78万元、差旅费3.29万元、会议费0.64万元、培训费0.97万元、公务接待费0.68万元、工会经费7万元、福利费2.87万元、其他交通费用36.81万元</w:t>
      </w:r>
      <w:r>
        <w:rPr>
          <w:rFonts w:hint="eastAsia" w:ascii="仿宋_GB2312" w:eastAsia="仿宋_GB2312" w:cs="仿宋_GB2312"/>
          <w:color w:val="auto"/>
          <w:sz w:val="32"/>
          <w:szCs w:val="32"/>
        </w:rPr>
        <w:t>，较上年增加</w:t>
      </w:r>
      <w:r>
        <w:rPr>
          <w:rFonts w:hint="eastAsia" w:ascii="仿宋_GB2312" w:eastAsia="仿宋_GB2312" w:cs="仿宋_GB2312"/>
          <w:color w:val="auto"/>
          <w:sz w:val="32"/>
          <w:szCs w:val="32"/>
          <w:lang w:val="en-US"/>
        </w:rPr>
        <w:t>19.41</w:t>
      </w:r>
      <w:r>
        <w:rPr>
          <w:rFonts w:hint="eastAsia" w:ascii="仿宋_GB2312" w:eastAsia="仿宋_GB2312" w:cs="仿宋_GB2312"/>
          <w:color w:val="auto"/>
          <w:sz w:val="32"/>
          <w:szCs w:val="32"/>
        </w:rPr>
        <w:t>万元，主要原因是：</w:t>
      </w:r>
      <w:r>
        <w:rPr>
          <w:rFonts w:hint="eastAsia" w:ascii="仿宋_GB2312" w:eastAsia="仿宋_GB2312" w:cs="仿宋_GB2312"/>
          <w:color w:val="auto"/>
          <w:sz w:val="32"/>
          <w:szCs w:val="32"/>
          <w:lang w:val="en-US" w:eastAsia="zh-CN"/>
        </w:rPr>
        <w:t>将职工的公车补贴放入其他交通费用中</w:t>
      </w:r>
      <w:r>
        <w:rPr>
          <w:rFonts w:hint="eastAsia" w:ascii="仿宋_GB2312" w:eastAsia="仿宋_GB2312" w:cs="仿宋_GB2312"/>
          <w:color w:val="auto"/>
          <w:sz w:val="32"/>
          <w:szCs w:val="32"/>
        </w:rPr>
        <w:t>。</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楷体" w:hAnsi="楷体" w:eastAsia="楷体" w:cs="楷体"/>
          <w:b/>
          <w:bCs/>
          <w:color w:val="auto"/>
          <w:sz w:val="32"/>
          <w:szCs w:val="32"/>
        </w:rPr>
        <w:t>（七）关于</w:t>
      </w:r>
      <w:r>
        <w:rPr>
          <w:rFonts w:hint="eastAsia" w:ascii="楷体" w:hAnsi="楷体" w:eastAsia="楷体" w:cs="楷体"/>
          <w:b/>
          <w:bCs/>
          <w:color w:val="auto"/>
          <w:sz w:val="32"/>
          <w:szCs w:val="32"/>
          <w:lang w:val="en-US"/>
        </w:rPr>
        <w:t>2021</w:t>
      </w:r>
      <w:r>
        <w:rPr>
          <w:rFonts w:hint="eastAsia" w:ascii="楷体" w:hAnsi="楷体" w:eastAsia="楷体" w:cs="楷体"/>
          <w:b/>
          <w:bCs/>
          <w:color w:val="auto"/>
          <w:sz w:val="32"/>
          <w:szCs w:val="32"/>
        </w:rPr>
        <w:t>年度财政拨款</w:t>
      </w:r>
      <w:r>
        <w:rPr>
          <w:rFonts w:hint="default" w:ascii="Times New Roman" w:hAnsi="Times New Roman" w:cs="Times New Roman"/>
          <w:b/>
          <w:bCs/>
          <w:color w:val="auto"/>
          <w:sz w:val="32"/>
          <w:szCs w:val="32"/>
          <w:lang w:val="en-US"/>
        </w:rPr>
        <w:t>“</w:t>
      </w:r>
      <w:r>
        <w:rPr>
          <w:rFonts w:hint="eastAsia" w:ascii="楷体" w:hAnsi="楷体" w:eastAsia="楷体" w:cs="楷体"/>
          <w:b/>
          <w:bCs/>
          <w:color w:val="auto"/>
          <w:sz w:val="32"/>
          <w:szCs w:val="32"/>
        </w:rPr>
        <w:t>三公</w:t>
      </w:r>
      <w:r>
        <w:rPr>
          <w:rFonts w:hint="default" w:ascii="Times New Roman" w:hAnsi="Times New Roman" w:cs="Times New Roman"/>
          <w:b/>
          <w:bCs/>
          <w:color w:val="auto"/>
          <w:sz w:val="32"/>
          <w:szCs w:val="32"/>
          <w:lang w:val="en-US"/>
        </w:rPr>
        <w:t>”</w:t>
      </w:r>
      <w:r>
        <w:rPr>
          <w:rFonts w:hint="eastAsia" w:ascii="楷体" w:hAnsi="楷体" w:eastAsia="楷体" w:cs="楷体"/>
          <w:b/>
          <w:bCs/>
          <w:color w:val="auto"/>
          <w:sz w:val="32"/>
          <w:szCs w:val="32"/>
        </w:rPr>
        <w:t>经费支出决算情况说明</w:t>
      </w:r>
    </w:p>
    <w:p>
      <w:pPr>
        <w:keepNext w:val="0"/>
        <w:keepLines w:val="0"/>
        <w:widowControl/>
        <w:suppressLineNumbers w:val="0"/>
        <w:autoSpaceDE w:val="0"/>
        <w:autoSpaceDN w:val="0"/>
        <w:spacing w:before="100" w:beforeAutospacing="0" w:after="100" w:afterAutospacing="0" w:line="580" w:lineRule="atLeast"/>
        <w:ind w:left="0" w:right="0" w:firstLine="600"/>
        <w:jc w:val="left"/>
        <w:rPr>
          <w:color w:val="auto"/>
        </w:rPr>
      </w:pPr>
      <w:r>
        <w:rPr>
          <w:rFonts w:hint="eastAsia" w:ascii="仿宋_GB2312" w:eastAsia="仿宋_GB2312" w:cs="仿宋_GB2312"/>
          <w:color w:val="auto"/>
          <w:sz w:val="32"/>
          <w:szCs w:val="32"/>
          <w:lang w:val="en-US"/>
        </w:rPr>
        <w:t>1</w:t>
      </w:r>
      <w:r>
        <w:rPr>
          <w:rFonts w:hint="eastAsia" w:ascii="仿宋_GB2312" w:eastAsia="仿宋_GB2312" w:cs="仿宋_GB2312"/>
          <w:color w:val="auto"/>
          <w:sz w:val="32"/>
          <w:szCs w:val="32"/>
        </w:rPr>
        <w:t>、财政拨款</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三公</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经费支出决算总体情况说明</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本</w:t>
      </w:r>
      <w:r>
        <w:rPr>
          <w:rFonts w:hint="eastAsia" w:ascii="仿宋_GB2312" w:eastAsia="仿宋_GB2312" w:cs="仿宋_GB2312"/>
          <w:color w:val="auto"/>
          <w:sz w:val="32"/>
          <w:szCs w:val="32"/>
          <w:lang w:val="en-US" w:eastAsia="zh-CN"/>
        </w:rPr>
        <w:t>单位</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年度财政拨款</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三公</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经费预算为</w:t>
      </w:r>
      <w:r>
        <w:rPr>
          <w:rFonts w:hint="eastAsia" w:ascii="仿宋_GB2312" w:eastAsia="仿宋_GB2312" w:cs="仿宋_GB2312"/>
          <w:color w:val="auto"/>
          <w:sz w:val="32"/>
          <w:szCs w:val="32"/>
          <w:lang w:val="en-US"/>
        </w:rPr>
        <w:t>0.80</w:t>
      </w:r>
      <w:r>
        <w:rPr>
          <w:rFonts w:hint="eastAsia" w:ascii="仿宋_GB2312" w:eastAsia="仿宋_GB2312" w:cs="仿宋_GB2312"/>
          <w:color w:val="auto"/>
          <w:sz w:val="32"/>
          <w:szCs w:val="32"/>
        </w:rPr>
        <w:t>万元，支出决算为</w:t>
      </w:r>
      <w:r>
        <w:rPr>
          <w:rFonts w:hint="eastAsia" w:ascii="仿宋_GB2312" w:eastAsia="仿宋_GB2312" w:cs="仿宋_GB2312"/>
          <w:color w:val="auto"/>
          <w:sz w:val="32"/>
          <w:szCs w:val="32"/>
          <w:lang w:val="en-US"/>
        </w:rPr>
        <w:t>0.68</w:t>
      </w:r>
      <w:r>
        <w:rPr>
          <w:rFonts w:hint="eastAsia" w:ascii="仿宋_GB2312" w:eastAsia="仿宋_GB2312" w:cs="仿宋_GB2312"/>
          <w:color w:val="auto"/>
          <w:sz w:val="32"/>
          <w:szCs w:val="32"/>
        </w:rPr>
        <w:t>万元，完成预算的</w:t>
      </w:r>
      <w:r>
        <w:rPr>
          <w:rFonts w:hint="eastAsia" w:ascii="仿宋_GB2312" w:eastAsia="仿宋_GB2312" w:cs="仿宋_GB2312"/>
          <w:color w:val="auto"/>
          <w:sz w:val="32"/>
          <w:szCs w:val="32"/>
          <w:lang w:val="en-US"/>
        </w:rPr>
        <w:t>85.25%</w:t>
      </w:r>
      <w:r>
        <w:rPr>
          <w:rFonts w:hint="eastAsia" w:ascii="仿宋_GB2312" w:eastAsia="仿宋_GB2312" w:cs="仿宋_GB2312"/>
          <w:color w:val="auto"/>
          <w:sz w:val="32"/>
          <w:szCs w:val="32"/>
        </w:rPr>
        <w:t>，其中：因公出国（境）费预算为</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万元，支出决算为</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万元，完成预算的</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；公务用车购置及运行维护费预算为</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万元，支出决算为</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万元，完成预算的</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；公务接待费预算为</w:t>
      </w:r>
      <w:r>
        <w:rPr>
          <w:rFonts w:hint="eastAsia" w:ascii="仿宋_GB2312" w:eastAsia="仿宋_GB2312" w:cs="仿宋_GB2312"/>
          <w:color w:val="auto"/>
          <w:sz w:val="32"/>
          <w:szCs w:val="32"/>
          <w:lang w:val="en-US"/>
        </w:rPr>
        <w:t>0.80</w:t>
      </w:r>
      <w:r>
        <w:rPr>
          <w:rFonts w:hint="eastAsia" w:ascii="仿宋_GB2312" w:eastAsia="仿宋_GB2312" w:cs="仿宋_GB2312"/>
          <w:color w:val="auto"/>
          <w:sz w:val="32"/>
          <w:szCs w:val="32"/>
        </w:rPr>
        <w:t>万元，支出决算为</w:t>
      </w:r>
      <w:r>
        <w:rPr>
          <w:rFonts w:hint="eastAsia" w:ascii="仿宋_GB2312" w:eastAsia="仿宋_GB2312" w:cs="仿宋_GB2312"/>
          <w:color w:val="auto"/>
          <w:sz w:val="32"/>
          <w:szCs w:val="32"/>
          <w:lang w:val="en-US"/>
        </w:rPr>
        <w:t>0.68</w:t>
      </w:r>
      <w:r>
        <w:rPr>
          <w:rFonts w:hint="eastAsia" w:ascii="仿宋_GB2312" w:eastAsia="仿宋_GB2312" w:cs="仿宋_GB2312"/>
          <w:color w:val="auto"/>
          <w:sz w:val="32"/>
          <w:szCs w:val="32"/>
        </w:rPr>
        <w:t>万元，完成预算的</w:t>
      </w:r>
      <w:r>
        <w:rPr>
          <w:rFonts w:hint="eastAsia" w:ascii="仿宋_GB2312" w:eastAsia="仿宋_GB2312" w:cs="仿宋_GB2312"/>
          <w:color w:val="auto"/>
          <w:sz w:val="32"/>
          <w:szCs w:val="32"/>
          <w:lang w:val="en-US"/>
        </w:rPr>
        <w:t>85.25%</w:t>
      </w:r>
      <w:r>
        <w:rPr>
          <w:rFonts w:hint="eastAsia" w:ascii="仿宋_GB2312" w:eastAsia="仿宋_GB2312" w:cs="仿宋_GB2312"/>
          <w:color w:val="auto"/>
          <w:sz w:val="32"/>
          <w:szCs w:val="32"/>
        </w:rPr>
        <w:t>。</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年度财政拨款</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三公</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经费支出决算与预算差异情况的原因：</w:t>
      </w:r>
      <w:r>
        <w:rPr>
          <w:rFonts w:hint="eastAsia" w:ascii="仿宋_GB2312" w:hAnsi="Times New Roman" w:eastAsia="仿宋_GB2312"/>
          <w:color w:val="auto"/>
          <w:sz w:val="32"/>
          <w:szCs w:val="24"/>
        </w:rPr>
        <w:t>202</w:t>
      </w:r>
      <w:r>
        <w:rPr>
          <w:rFonts w:hint="eastAsia" w:ascii="仿宋_GB2312" w:hAnsi="Times New Roman" w:eastAsia="仿宋_GB2312"/>
          <w:color w:val="auto"/>
          <w:sz w:val="32"/>
          <w:szCs w:val="24"/>
          <w:lang w:val="en-US" w:eastAsia="zh-CN"/>
        </w:rPr>
        <w:t>1</w:t>
      </w:r>
      <w:r>
        <w:rPr>
          <w:rFonts w:hint="eastAsia" w:ascii="仿宋_GB2312" w:hAnsi="Times New Roman" w:eastAsia="仿宋_GB2312"/>
          <w:color w:val="auto"/>
          <w:sz w:val="32"/>
          <w:szCs w:val="24"/>
        </w:rPr>
        <w:t>年厉行节俭，缩减三公经费支出</w:t>
      </w:r>
      <w:r>
        <w:rPr>
          <w:rFonts w:hint="eastAsia" w:ascii="仿宋_GB2312" w:eastAsia="仿宋_GB2312" w:cs="仿宋_GB2312"/>
          <w:color w:val="auto"/>
          <w:sz w:val="32"/>
          <w:szCs w:val="32"/>
        </w:rPr>
        <w:t>。</w:t>
      </w:r>
    </w:p>
    <w:p>
      <w:pPr>
        <w:keepNext w:val="0"/>
        <w:keepLines w:val="0"/>
        <w:widowControl/>
        <w:suppressLineNumbers w:val="0"/>
        <w:autoSpaceDE w:val="0"/>
        <w:autoSpaceDN w:val="0"/>
        <w:spacing w:before="100" w:beforeAutospacing="0" w:after="100" w:afterAutospacing="0" w:line="580" w:lineRule="atLeast"/>
        <w:ind w:left="0" w:right="0" w:firstLine="600"/>
        <w:jc w:val="left"/>
        <w:rPr>
          <w:color w:val="auto"/>
        </w:rPr>
      </w:pPr>
      <w:r>
        <w:rPr>
          <w:rFonts w:hint="eastAsia" w:ascii="仿宋_GB2312" w:eastAsia="仿宋_GB2312" w:cs="仿宋_GB2312"/>
          <w:color w:val="auto"/>
          <w:sz w:val="32"/>
          <w:szCs w:val="32"/>
          <w:lang w:val="en-US"/>
        </w:rPr>
        <w:t>2</w:t>
      </w:r>
      <w:r>
        <w:rPr>
          <w:rFonts w:hint="eastAsia" w:ascii="仿宋_GB2312" w:eastAsia="仿宋_GB2312" w:cs="仿宋_GB2312"/>
          <w:color w:val="auto"/>
          <w:sz w:val="32"/>
          <w:szCs w:val="32"/>
        </w:rPr>
        <w:t>、财政拨款</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三公</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经费支出决算具体情况说明</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本</w:t>
      </w:r>
      <w:r>
        <w:rPr>
          <w:rFonts w:hint="eastAsia" w:ascii="仿宋_GB2312" w:eastAsia="仿宋_GB2312" w:cs="仿宋_GB2312"/>
          <w:color w:val="auto"/>
          <w:sz w:val="32"/>
          <w:szCs w:val="32"/>
          <w:lang w:val="en-US" w:eastAsia="zh-CN"/>
        </w:rPr>
        <w:t>单位</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年度财政拨款</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三公</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经费支出</w:t>
      </w:r>
      <w:r>
        <w:rPr>
          <w:rFonts w:hint="eastAsia" w:ascii="仿宋_GB2312" w:eastAsia="仿宋_GB2312" w:cs="仿宋_GB2312"/>
          <w:color w:val="auto"/>
          <w:sz w:val="32"/>
          <w:szCs w:val="32"/>
          <w:lang w:val="en-US"/>
        </w:rPr>
        <w:t>0.68</w:t>
      </w:r>
      <w:r>
        <w:rPr>
          <w:rFonts w:hint="eastAsia" w:ascii="仿宋_GB2312" w:eastAsia="仿宋_GB2312" w:cs="仿宋_GB2312"/>
          <w:color w:val="auto"/>
          <w:sz w:val="32"/>
          <w:szCs w:val="32"/>
        </w:rPr>
        <w:t>万元，因公出国（境）费支出</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万元，占</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三公</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经费支出的</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；公务用车购置及运行维护费支出</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万元，占</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；公务接待费支出</w:t>
      </w:r>
      <w:r>
        <w:rPr>
          <w:rFonts w:hint="eastAsia" w:ascii="仿宋_GB2312" w:eastAsia="仿宋_GB2312" w:cs="仿宋_GB2312"/>
          <w:color w:val="auto"/>
          <w:sz w:val="32"/>
          <w:szCs w:val="32"/>
          <w:lang w:val="en-US"/>
        </w:rPr>
        <w:t>0.68</w:t>
      </w:r>
      <w:r>
        <w:rPr>
          <w:rFonts w:hint="eastAsia" w:ascii="仿宋_GB2312" w:eastAsia="仿宋_GB2312" w:cs="仿宋_GB2312"/>
          <w:color w:val="auto"/>
          <w:sz w:val="32"/>
          <w:szCs w:val="32"/>
        </w:rPr>
        <w:t>万元，占</w:t>
      </w:r>
      <w:r>
        <w:rPr>
          <w:rFonts w:hint="eastAsia" w:ascii="仿宋_GB2312" w:eastAsia="仿宋_GB2312" w:cs="仿宋_GB2312"/>
          <w:color w:val="auto"/>
          <w:sz w:val="32"/>
          <w:szCs w:val="32"/>
          <w:lang w:val="en-US"/>
        </w:rPr>
        <w:t>100.00%</w:t>
      </w:r>
      <w:r>
        <w:rPr>
          <w:rFonts w:hint="eastAsia" w:ascii="仿宋_GB2312" w:eastAsia="仿宋_GB2312" w:cs="仿宋_GB2312"/>
          <w:color w:val="auto"/>
          <w:sz w:val="32"/>
          <w:szCs w:val="32"/>
        </w:rPr>
        <w:t>。具体情况如下：</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b/>
          <w:bCs/>
          <w:color w:val="auto"/>
          <w:sz w:val="32"/>
          <w:szCs w:val="32"/>
        </w:rPr>
        <w:t>因公出国（境）费支出</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万元。全年因公出国（境）团组</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个，累计</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人次。。较上年增加（减少）</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万元，主要原因是</w:t>
      </w:r>
      <w:r>
        <w:rPr>
          <w:rFonts w:hint="eastAsia" w:ascii="仿宋_GB2312" w:hAnsi="Times New Roman" w:eastAsia="仿宋_GB2312" w:cs="仿宋_GB2312"/>
          <w:color w:val="auto"/>
          <w:sz w:val="32"/>
          <w:szCs w:val="32"/>
        </w:rPr>
        <w:t>无因公出国（境）费用</w:t>
      </w:r>
      <w:r>
        <w:rPr>
          <w:rFonts w:hint="eastAsia" w:ascii="仿宋_GB2312" w:eastAsia="仿宋_GB2312" w:cs="仿宋_GB2312"/>
          <w:color w:val="auto"/>
          <w:sz w:val="32"/>
          <w:szCs w:val="32"/>
        </w:rPr>
        <w:t>。</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b/>
          <w:bCs/>
          <w:color w:val="auto"/>
          <w:sz w:val="32"/>
          <w:szCs w:val="32"/>
        </w:rPr>
        <w:t>公务用车购置及运行维护费支出</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万元。其中：公务用车购置支出</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万元，车均购置费</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万元，公务用车购置支出较上年增加（减少）</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万元，主要原因是</w:t>
      </w:r>
      <w:r>
        <w:rPr>
          <w:rFonts w:hint="eastAsia" w:ascii="仿宋_GB2312" w:hAnsi="Times New Roman" w:eastAsia="仿宋_GB2312"/>
          <w:color w:val="auto"/>
          <w:sz w:val="32"/>
          <w:szCs w:val="24"/>
        </w:rPr>
        <w:t>无车辆购置支出</w:t>
      </w:r>
      <w:r>
        <w:rPr>
          <w:rFonts w:hint="eastAsia" w:ascii="仿宋_GB2312" w:eastAsia="仿宋_GB2312" w:cs="仿宋_GB2312"/>
          <w:color w:val="auto"/>
          <w:sz w:val="32"/>
          <w:szCs w:val="32"/>
        </w:rPr>
        <w:t>。公务用车运行维护费支出</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万元，车均运维费</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万元，公务用车运行维护费支出较上年减少</w:t>
      </w:r>
      <w:r>
        <w:rPr>
          <w:rFonts w:hint="eastAsia" w:ascii="仿宋_GB2312" w:eastAsia="仿宋_GB2312" w:cs="仿宋_GB2312"/>
          <w:color w:val="auto"/>
          <w:sz w:val="32"/>
          <w:szCs w:val="32"/>
          <w:lang w:val="en-US"/>
        </w:rPr>
        <w:t>5.90</w:t>
      </w:r>
      <w:r>
        <w:rPr>
          <w:rFonts w:hint="eastAsia" w:ascii="仿宋_GB2312" w:eastAsia="仿宋_GB2312" w:cs="仿宋_GB2312"/>
          <w:color w:val="auto"/>
          <w:sz w:val="32"/>
          <w:szCs w:val="32"/>
        </w:rPr>
        <w:t>万元，主要原因是</w:t>
      </w:r>
      <w:r>
        <w:rPr>
          <w:rFonts w:hint="eastAsia" w:ascii="仿宋_GB2312" w:eastAsia="仿宋_GB2312" w:cs="仿宋_GB2312"/>
          <w:color w:val="auto"/>
          <w:sz w:val="32"/>
          <w:szCs w:val="32"/>
          <w:lang w:val="en-US" w:eastAsia="zh-CN"/>
        </w:rPr>
        <w:t>我单位将公车全部划转公车办</w:t>
      </w:r>
      <w:r>
        <w:rPr>
          <w:rFonts w:hint="eastAsia" w:ascii="仿宋_GB2312" w:eastAsia="仿宋_GB2312" w:cs="仿宋_GB2312"/>
          <w:color w:val="auto"/>
          <w:sz w:val="32"/>
          <w:szCs w:val="32"/>
        </w:rPr>
        <w:t>，财政拨款开支的公务用车保有量为</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辆。</w:t>
      </w:r>
    </w:p>
    <w:p>
      <w:pPr>
        <w:keepNext w:val="0"/>
        <w:keepLines w:val="0"/>
        <w:widowControl/>
        <w:suppressLineNumbers w:val="0"/>
        <w:autoSpaceDE w:val="0"/>
        <w:autoSpaceDN w:val="0"/>
        <w:spacing w:before="100" w:beforeAutospacing="0" w:after="100" w:afterAutospacing="0" w:line="580" w:lineRule="atLeast"/>
        <w:ind w:left="0" w:right="0" w:firstLine="600"/>
        <w:rPr>
          <w:rFonts w:hint="eastAsia" w:ascii="仿宋_GB2312" w:hAnsi="Times New Roman" w:eastAsia="仿宋_GB2312"/>
          <w:color w:val="auto"/>
          <w:sz w:val="32"/>
          <w:szCs w:val="24"/>
          <w:lang w:eastAsia="zh-CN"/>
        </w:rPr>
      </w:pPr>
      <w:r>
        <w:rPr>
          <w:rFonts w:hint="eastAsia" w:ascii="仿宋_GB2312" w:eastAsia="仿宋_GB2312" w:cs="仿宋_GB2312"/>
          <w:b/>
          <w:bCs/>
          <w:color w:val="auto"/>
          <w:sz w:val="32"/>
          <w:szCs w:val="32"/>
        </w:rPr>
        <w:t>公务接待费支出</w:t>
      </w:r>
      <w:r>
        <w:rPr>
          <w:rFonts w:hint="eastAsia" w:ascii="仿宋_GB2312" w:eastAsia="仿宋_GB2312" w:cs="仿宋_GB2312"/>
          <w:color w:val="auto"/>
          <w:sz w:val="32"/>
          <w:szCs w:val="32"/>
          <w:lang w:val="en-US"/>
        </w:rPr>
        <w:t>0.68</w:t>
      </w:r>
      <w:r>
        <w:rPr>
          <w:rFonts w:hint="eastAsia" w:ascii="仿宋_GB2312" w:eastAsia="仿宋_GB2312" w:cs="仿宋_GB2312"/>
          <w:color w:val="auto"/>
          <w:sz w:val="32"/>
          <w:szCs w:val="32"/>
        </w:rPr>
        <w:t>万元。其中：国内公务接待费</w:t>
      </w:r>
      <w:r>
        <w:rPr>
          <w:rFonts w:hint="eastAsia" w:ascii="仿宋_GB2312" w:eastAsia="仿宋_GB2312" w:cs="仿宋_GB2312"/>
          <w:color w:val="auto"/>
          <w:sz w:val="32"/>
          <w:szCs w:val="32"/>
          <w:lang w:val="en-US"/>
        </w:rPr>
        <w:t>0.68</w:t>
      </w:r>
      <w:r>
        <w:rPr>
          <w:rFonts w:hint="eastAsia" w:ascii="仿宋_GB2312" w:eastAsia="仿宋_GB2312" w:cs="仿宋_GB2312"/>
          <w:color w:val="auto"/>
          <w:sz w:val="32"/>
          <w:szCs w:val="32"/>
        </w:rPr>
        <w:t>万元，接待</w:t>
      </w:r>
      <w:r>
        <w:rPr>
          <w:rFonts w:hint="eastAsia" w:ascii="仿宋_GB2312" w:eastAsia="仿宋_GB2312" w:cs="仿宋_GB2312"/>
          <w:color w:val="auto"/>
          <w:sz w:val="32"/>
          <w:szCs w:val="32"/>
          <w:lang w:val="en-US"/>
        </w:rPr>
        <w:t>6</w:t>
      </w:r>
      <w:r>
        <w:rPr>
          <w:rFonts w:hint="eastAsia" w:ascii="仿宋_GB2312" w:eastAsia="仿宋_GB2312" w:cs="仿宋_GB2312"/>
          <w:color w:val="auto"/>
          <w:sz w:val="32"/>
          <w:szCs w:val="32"/>
        </w:rPr>
        <w:t>批次，共接待</w:t>
      </w:r>
      <w:r>
        <w:rPr>
          <w:rFonts w:hint="eastAsia" w:ascii="仿宋_GB2312" w:eastAsia="仿宋_GB2312" w:cs="仿宋_GB2312"/>
          <w:color w:val="auto"/>
          <w:sz w:val="32"/>
          <w:szCs w:val="32"/>
          <w:lang w:val="en-US"/>
        </w:rPr>
        <w:t>58</w:t>
      </w:r>
      <w:r>
        <w:rPr>
          <w:rFonts w:hint="eastAsia" w:ascii="仿宋_GB2312" w:eastAsia="仿宋_GB2312" w:cs="仿宋_GB2312"/>
          <w:color w:val="auto"/>
          <w:sz w:val="32"/>
          <w:szCs w:val="32"/>
        </w:rPr>
        <w:t>人次。主要用于</w:t>
      </w:r>
      <w:r>
        <w:rPr>
          <w:rFonts w:hint="eastAsia" w:ascii="仿宋_GB2312" w:hAnsi="仿宋_GB2312" w:eastAsia="仿宋_GB2312"/>
          <w:color w:val="auto"/>
          <w:sz w:val="32"/>
          <w:szCs w:val="24"/>
        </w:rPr>
        <w:t>上级部门调研检查以及外省市来我市观摩调研</w:t>
      </w:r>
      <w:r>
        <w:rPr>
          <w:rFonts w:hint="eastAsia" w:ascii="仿宋_GB2312" w:eastAsia="仿宋_GB2312" w:cs="仿宋_GB2312"/>
          <w:color w:val="auto"/>
          <w:sz w:val="32"/>
          <w:szCs w:val="32"/>
        </w:rPr>
        <w:t>。国（境）外接待费</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万元，接待</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批次，共接待</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人次。。公务接待费支出较上年减少</w:t>
      </w:r>
      <w:r>
        <w:rPr>
          <w:rFonts w:hint="eastAsia" w:ascii="仿宋_GB2312" w:eastAsia="仿宋_GB2312" w:cs="仿宋_GB2312"/>
          <w:color w:val="auto"/>
          <w:sz w:val="32"/>
          <w:szCs w:val="32"/>
          <w:lang w:val="en-US"/>
        </w:rPr>
        <w:t>0.04</w:t>
      </w:r>
      <w:r>
        <w:rPr>
          <w:rFonts w:hint="eastAsia" w:ascii="仿宋_GB2312" w:eastAsia="仿宋_GB2312" w:cs="仿宋_GB2312"/>
          <w:color w:val="auto"/>
          <w:sz w:val="32"/>
          <w:szCs w:val="32"/>
        </w:rPr>
        <w:t>万元，主要原因是</w:t>
      </w:r>
      <w:r>
        <w:rPr>
          <w:rFonts w:hint="eastAsia" w:ascii="仿宋_GB2312" w:hAnsi="Times New Roman" w:eastAsia="仿宋_GB2312"/>
          <w:color w:val="auto"/>
          <w:sz w:val="32"/>
          <w:szCs w:val="24"/>
        </w:rPr>
        <w:t>202</w:t>
      </w:r>
      <w:r>
        <w:rPr>
          <w:rFonts w:hint="eastAsia" w:ascii="仿宋_GB2312" w:hAnsi="Times New Roman" w:eastAsia="仿宋_GB2312"/>
          <w:color w:val="auto"/>
          <w:sz w:val="32"/>
          <w:szCs w:val="24"/>
          <w:lang w:val="en-US" w:eastAsia="zh-CN"/>
        </w:rPr>
        <w:t>1</w:t>
      </w:r>
      <w:r>
        <w:rPr>
          <w:rFonts w:hint="eastAsia" w:ascii="仿宋_GB2312" w:hAnsi="Times New Roman" w:eastAsia="仿宋_GB2312"/>
          <w:color w:val="auto"/>
          <w:sz w:val="32"/>
          <w:szCs w:val="24"/>
        </w:rPr>
        <w:t>年厉行节俭，缩减三公经费支出</w:t>
      </w:r>
      <w:r>
        <w:rPr>
          <w:rFonts w:hint="eastAsia" w:ascii="仿宋_GB2312" w:hAnsi="Times New Roman" w:eastAsia="仿宋_GB2312"/>
          <w:color w:val="auto"/>
          <w:sz w:val="32"/>
          <w:szCs w:val="24"/>
          <w:lang w:eastAsia="zh-CN"/>
        </w:rPr>
        <w:t>。</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楷体" w:hAnsi="楷体" w:eastAsia="楷体" w:cs="楷体"/>
          <w:b/>
          <w:bCs/>
          <w:color w:val="auto"/>
          <w:sz w:val="32"/>
          <w:szCs w:val="32"/>
        </w:rPr>
        <w:t>（八）关于</w:t>
      </w:r>
      <w:r>
        <w:rPr>
          <w:rFonts w:hint="eastAsia" w:ascii="楷体" w:hAnsi="楷体" w:eastAsia="楷体" w:cs="楷体"/>
          <w:b/>
          <w:bCs/>
          <w:color w:val="auto"/>
          <w:sz w:val="32"/>
          <w:szCs w:val="32"/>
          <w:lang w:val="en-US"/>
        </w:rPr>
        <w:t>2021</w:t>
      </w:r>
      <w:r>
        <w:rPr>
          <w:rFonts w:hint="eastAsia" w:ascii="楷体" w:hAnsi="楷体" w:eastAsia="楷体" w:cs="楷体"/>
          <w:b/>
          <w:bCs/>
          <w:color w:val="auto"/>
          <w:sz w:val="32"/>
          <w:szCs w:val="32"/>
        </w:rPr>
        <w:t>年度政府性基金预算财政拨款支出决算情况说明</w:t>
      </w:r>
    </w:p>
    <w:p>
      <w:pPr>
        <w:keepNext w:val="0"/>
        <w:keepLines w:val="0"/>
        <w:widowControl/>
        <w:suppressLineNumbers w:val="0"/>
        <w:autoSpaceDE w:val="0"/>
        <w:autoSpaceDN w:val="0"/>
        <w:spacing w:before="100" w:beforeAutospacing="1" w:after="100" w:afterAutospacing="1" w:line="560" w:lineRule="atLeast"/>
        <w:ind w:left="0" w:right="0" w:firstLine="640"/>
        <w:jc w:val="both"/>
        <w:rPr>
          <w:color w:val="auto"/>
        </w:rPr>
      </w:pP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年度政府性基金预算收入决算</w:t>
      </w:r>
      <w:r>
        <w:rPr>
          <w:rFonts w:hint="eastAsia" w:ascii="仿宋_GB2312" w:eastAsia="仿宋_GB2312" w:cs="仿宋_GB2312"/>
          <w:color w:val="auto"/>
          <w:sz w:val="32"/>
          <w:szCs w:val="32"/>
          <w:lang w:val="en-US"/>
        </w:rPr>
        <w:t>1,735.37</w:t>
      </w:r>
      <w:r>
        <w:rPr>
          <w:rFonts w:hint="eastAsia" w:ascii="仿宋_GB2312" w:eastAsia="仿宋_GB2312" w:cs="仿宋_GB2312"/>
          <w:color w:val="auto"/>
          <w:sz w:val="32"/>
          <w:szCs w:val="32"/>
        </w:rPr>
        <w:t>万元。与上年相比，增加</w:t>
      </w:r>
      <w:r>
        <w:rPr>
          <w:rFonts w:hint="eastAsia" w:ascii="仿宋_GB2312" w:eastAsia="仿宋_GB2312" w:cs="仿宋_GB2312"/>
          <w:color w:val="auto"/>
          <w:sz w:val="32"/>
          <w:szCs w:val="32"/>
          <w:lang w:val="en-US"/>
        </w:rPr>
        <w:t>237.28</w:t>
      </w:r>
      <w:r>
        <w:rPr>
          <w:rFonts w:hint="eastAsia" w:ascii="仿宋_GB2312" w:eastAsia="仿宋_GB2312" w:cs="仿宋_GB2312"/>
          <w:color w:val="auto"/>
          <w:sz w:val="32"/>
          <w:szCs w:val="32"/>
        </w:rPr>
        <w:t>万元，增长</w:t>
      </w:r>
      <w:r>
        <w:rPr>
          <w:rFonts w:hint="eastAsia" w:ascii="仿宋_GB2312" w:eastAsia="仿宋_GB2312" w:cs="仿宋_GB2312"/>
          <w:color w:val="auto"/>
          <w:sz w:val="32"/>
          <w:szCs w:val="32"/>
          <w:lang w:val="en-US"/>
        </w:rPr>
        <w:t>15.84%</w:t>
      </w:r>
      <w:r>
        <w:rPr>
          <w:rFonts w:hint="eastAsia" w:ascii="仿宋_GB2312" w:eastAsia="仿宋_GB2312" w:cs="仿宋_GB2312"/>
          <w:color w:val="auto"/>
          <w:sz w:val="32"/>
          <w:szCs w:val="32"/>
        </w:rPr>
        <w:t>，变动原因：</w:t>
      </w:r>
      <w:r>
        <w:rPr>
          <w:rFonts w:hint="eastAsia" w:ascii="仿宋_GB2312" w:eastAsia="仿宋_GB2312" w:cs="仿宋_GB2312"/>
          <w:color w:val="auto"/>
          <w:sz w:val="32"/>
          <w:szCs w:val="32"/>
          <w:lang w:val="en-US" w:eastAsia="zh-CN"/>
        </w:rPr>
        <w:t>新增拨入项目经费</w:t>
      </w:r>
      <w:r>
        <w:rPr>
          <w:rFonts w:hint="eastAsia" w:ascii="仿宋_GB2312" w:eastAsia="仿宋_GB2312" w:cs="仿宋_GB2312"/>
          <w:color w:val="auto"/>
          <w:sz w:val="32"/>
          <w:szCs w:val="32"/>
        </w:rPr>
        <w:t>；支出决算</w:t>
      </w:r>
      <w:r>
        <w:rPr>
          <w:rFonts w:hint="eastAsia" w:ascii="仿宋_GB2312" w:eastAsia="仿宋_GB2312" w:cs="仿宋_GB2312"/>
          <w:color w:val="auto"/>
          <w:sz w:val="32"/>
          <w:szCs w:val="32"/>
          <w:lang w:val="en-US"/>
        </w:rPr>
        <w:t>2,700.75</w:t>
      </w:r>
      <w:r>
        <w:rPr>
          <w:rFonts w:hint="eastAsia" w:ascii="仿宋_GB2312" w:eastAsia="仿宋_GB2312" w:cs="仿宋_GB2312"/>
          <w:color w:val="auto"/>
          <w:sz w:val="32"/>
          <w:szCs w:val="32"/>
        </w:rPr>
        <w:t>万元。与上年相比，减少</w:t>
      </w:r>
      <w:r>
        <w:rPr>
          <w:rFonts w:hint="eastAsia" w:ascii="仿宋_GB2312" w:eastAsia="仿宋_GB2312" w:cs="仿宋_GB2312"/>
          <w:color w:val="auto"/>
          <w:sz w:val="32"/>
          <w:szCs w:val="32"/>
          <w:lang w:val="en-US"/>
        </w:rPr>
        <w:t>2,926.69</w:t>
      </w:r>
      <w:r>
        <w:rPr>
          <w:rFonts w:hint="eastAsia" w:ascii="仿宋_GB2312" w:eastAsia="仿宋_GB2312" w:cs="仿宋_GB2312"/>
          <w:color w:val="auto"/>
          <w:sz w:val="32"/>
          <w:szCs w:val="32"/>
        </w:rPr>
        <w:t>万元，下降</w:t>
      </w:r>
      <w:r>
        <w:rPr>
          <w:rFonts w:hint="eastAsia" w:ascii="仿宋_GB2312" w:eastAsia="仿宋_GB2312" w:cs="仿宋_GB2312"/>
          <w:color w:val="auto"/>
          <w:sz w:val="32"/>
          <w:szCs w:val="32"/>
          <w:lang w:val="en-US"/>
        </w:rPr>
        <w:t>52.01%</w:t>
      </w:r>
      <w:r>
        <w:rPr>
          <w:rFonts w:hint="eastAsia" w:ascii="仿宋_GB2312" w:eastAsia="仿宋_GB2312" w:cs="仿宋_GB2312"/>
          <w:color w:val="auto"/>
          <w:sz w:val="32"/>
          <w:szCs w:val="32"/>
        </w:rPr>
        <w:t>，变动原因：</w:t>
      </w:r>
      <w:r>
        <w:rPr>
          <w:rFonts w:hint="eastAsia" w:ascii="仿宋_GB2312" w:eastAsia="仿宋_GB2312" w:cs="仿宋_GB2312"/>
          <w:color w:val="auto"/>
          <w:sz w:val="32"/>
          <w:szCs w:val="32"/>
          <w:lang w:val="en-US" w:eastAsia="zh-CN"/>
        </w:rPr>
        <w:t>2021年民政福利园区建设支出减少</w:t>
      </w:r>
      <w:r>
        <w:rPr>
          <w:rFonts w:hint="eastAsia" w:ascii="仿宋_GB2312" w:eastAsia="仿宋_GB2312" w:cs="仿宋_GB2312"/>
          <w:color w:val="auto"/>
          <w:sz w:val="32"/>
          <w:szCs w:val="32"/>
        </w:rPr>
        <w:t>。</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楷体" w:hAnsi="楷体" w:eastAsia="楷体" w:cs="楷体"/>
          <w:b/>
          <w:bCs/>
          <w:color w:val="auto"/>
          <w:sz w:val="32"/>
          <w:szCs w:val="32"/>
        </w:rPr>
        <w:t>（九）关于</w:t>
      </w:r>
      <w:r>
        <w:rPr>
          <w:rFonts w:hint="eastAsia" w:ascii="楷体" w:hAnsi="楷体" w:eastAsia="楷体" w:cs="楷体"/>
          <w:b/>
          <w:bCs/>
          <w:color w:val="auto"/>
          <w:sz w:val="32"/>
          <w:szCs w:val="32"/>
          <w:lang w:val="en-US"/>
        </w:rPr>
        <w:t>2021</w:t>
      </w:r>
      <w:r>
        <w:rPr>
          <w:rFonts w:hint="eastAsia" w:ascii="楷体" w:hAnsi="楷体" w:eastAsia="楷体" w:cs="楷体"/>
          <w:b/>
          <w:bCs/>
          <w:color w:val="auto"/>
          <w:sz w:val="32"/>
          <w:szCs w:val="32"/>
        </w:rPr>
        <w:t>年度国有资本经营预算支出决算情况说明</w:t>
      </w:r>
    </w:p>
    <w:p>
      <w:pPr>
        <w:keepNext w:val="0"/>
        <w:keepLines w:val="0"/>
        <w:widowControl/>
        <w:suppressLineNumbers w:val="0"/>
        <w:autoSpaceDE w:val="0"/>
        <w:autoSpaceDN w:val="0"/>
        <w:spacing w:before="100" w:beforeAutospacing="1" w:after="100" w:afterAutospacing="1" w:line="560" w:lineRule="atLeast"/>
        <w:ind w:left="0" w:right="0" w:firstLine="640"/>
        <w:rPr>
          <w:color w:val="auto"/>
        </w:rPr>
      </w:pP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年度国有资本经营预算收入决算</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万元，与上年相比，与上年相比，增加（减少）</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万元，增长（下降）</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；支出决算</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万元。与上年相比，增加（减少）</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万元，增长（减少）</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，变动原因：本年无国有资本经营预算拨款支出。</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楷体" w:hAnsi="楷体" w:eastAsia="楷体" w:cs="楷体"/>
          <w:b/>
          <w:bCs/>
          <w:color w:val="auto"/>
          <w:sz w:val="32"/>
          <w:szCs w:val="32"/>
        </w:rPr>
        <w:t>（十）关于</w:t>
      </w:r>
      <w:r>
        <w:rPr>
          <w:rFonts w:hint="eastAsia" w:ascii="楷体" w:hAnsi="楷体" w:eastAsia="楷体" w:cs="楷体"/>
          <w:b/>
          <w:bCs/>
          <w:color w:val="auto"/>
          <w:sz w:val="32"/>
          <w:szCs w:val="32"/>
          <w:lang w:val="en-US"/>
        </w:rPr>
        <w:t>2021</w:t>
      </w:r>
      <w:r>
        <w:rPr>
          <w:rFonts w:hint="eastAsia" w:ascii="楷体" w:hAnsi="楷体" w:eastAsia="楷体" w:cs="楷体"/>
          <w:b/>
          <w:bCs/>
          <w:color w:val="auto"/>
          <w:sz w:val="32"/>
          <w:szCs w:val="32"/>
        </w:rPr>
        <w:t>年度项目支出决算情况说明</w:t>
      </w:r>
    </w:p>
    <w:p>
      <w:pPr>
        <w:keepNext w:val="0"/>
        <w:keepLines w:val="0"/>
        <w:widowControl/>
        <w:suppressLineNumbers w:val="0"/>
        <w:autoSpaceDE w:val="0"/>
        <w:autoSpaceDN w:val="0"/>
        <w:spacing w:before="100" w:beforeAutospacing="1" w:after="100" w:afterAutospacing="1" w:line="560" w:lineRule="atLeast"/>
        <w:ind w:left="0" w:right="0" w:firstLine="640"/>
        <w:rPr>
          <w:color w:val="auto"/>
        </w:rPr>
      </w:pP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年，单位预算安排项目</w:t>
      </w:r>
      <w:r>
        <w:rPr>
          <w:rFonts w:hint="eastAsia" w:ascii="仿宋_GB2312" w:eastAsia="仿宋_GB2312" w:cs="仿宋_GB2312"/>
          <w:color w:val="auto"/>
          <w:sz w:val="32"/>
          <w:szCs w:val="32"/>
          <w:lang w:val="en-US" w:eastAsia="zh-CN"/>
        </w:rPr>
        <w:t>1</w:t>
      </w:r>
      <w:r>
        <w:rPr>
          <w:rFonts w:hint="eastAsia" w:ascii="仿宋_GB2312" w:eastAsia="仿宋_GB2312" w:cs="仿宋_GB2312"/>
          <w:color w:val="auto"/>
          <w:sz w:val="32"/>
          <w:szCs w:val="32"/>
        </w:rPr>
        <w:t>个，实施项目</w:t>
      </w:r>
      <w:r>
        <w:rPr>
          <w:rFonts w:hint="eastAsia" w:ascii="仿宋_GB2312" w:eastAsia="仿宋_GB2312" w:cs="仿宋_GB2312"/>
          <w:color w:val="auto"/>
          <w:sz w:val="32"/>
          <w:szCs w:val="32"/>
          <w:lang w:val="en-US" w:eastAsia="zh-CN"/>
        </w:rPr>
        <w:t>1</w:t>
      </w:r>
      <w:r>
        <w:rPr>
          <w:rFonts w:hint="eastAsia" w:ascii="仿宋_GB2312" w:eastAsia="仿宋_GB2312" w:cs="仿宋_GB2312"/>
          <w:color w:val="auto"/>
          <w:sz w:val="32"/>
          <w:szCs w:val="32"/>
        </w:rPr>
        <w:t>个，完成项目</w:t>
      </w:r>
      <w:r>
        <w:rPr>
          <w:rFonts w:hint="eastAsia" w:ascii="仿宋_GB2312" w:eastAsia="仿宋_GB2312" w:cs="仿宋_GB2312"/>
          <w:color w:val="auto"/>
          <w:sz w:val="32"/>
          <w:szCs w:val="32"/>
          <w:lang w:val="en-US" w:eastAsia="zh-CN"/>
        </w:rPr>
        <w:t>1</w:t>
      </w:r>
      <w:r>
        <w:rPr>
          <w:rFonts w:hint="eastAsia" w:ascii="仿宋_GB2312" w:eastAsia="仿宋_GB2312" w:cs="仿宋_GB2312"/>
          <w:color w:val="auto"/>
          <w:sz w:val="32"/>
          <w:szCs w:val="32"/>
        </w:rPr>
        <w:t>个，项目支出总金额</w:t>
      </w:r>
      <w:r>
        <w:rPr>
          <w:rFonts w:hint="eastAsia" w:ascii="仿宋_GB2312" w:eastAsia="仿宋_GB2312" w:cs="仿宋_GB2312"/>
          <w:color w:val="auto"/>
          <w:sz w:val="32"/>
          <w:szCs w:val="32"/>
          <w:lang w:val="en-US"/>
        </w:rPr>
        <w:t>3,288.15</w:t>
      </w:r>
      <w:r>
        <w:rPr>
          <w:rFonts w:hint="eastAsia" w:ascii="仿宋_GB2312" w:eastAsia="仿宋_GB2312" w:cs="仿宋_GB2312"/>
          <w:color w:val="auto"/>
          <w:sz w:val="32"/>
          <w:szCs w:val="32"/>
        </w:rPr>
        <w:t>万元。财政本年拨款金额</w:t>
      </w:r>
      <w:r>
        <w:rPr>
          <w:rFonts w:hint="eastAsia" w:ascii="仿宋_GB2312" w:eastAsia="仿宋_GB2312" w:cs="仿宋_GB2312"/>
          <w:color w:val="auto"/>
          <w:sz w:val="32"/>
          <w:szCs w:val="32"/>
          <w:lang w:val="en-US"/>
        </w:rPr>
        <w:t>2,284.22</w:t>
      </w:r>
      <w:r>
        <w:rPr>
          <w:rFonts w:hint="eastAsia" w:ascii="仿宋_GB2312" w:eastAsia="仿宋_GB2312" w:cs="仿宋_GB2312"/>
          <w:color w:val="auto"/>
          <w:sz w:val="32"/>
          <w:szCs w:val="32"/>
        </w:rPr>
        <w:t>万元，财政拨款结转结余</w:t>
      </w:r>
      <w:r>
        <w:rPr>
          <w:rFonts w:hint="eastAsia" w:ascii="仿宋_GB2312" w:eastAsia="仿宋_GB2312" w:cs="仿宋_GB2312"/>
          <w:color w:val="auto"/>
          <w:sz w:val="32"/>
          <w:szCs w:val="32"/>
          <w:lang w:val="en-US"/>
        </w:rPr>
        <w:t>1,178.32</w:t>
      </w:r>
      <w:r>
        <w:rPr>
          <w:rFonts w:hint="eastAsia" w:ascii="仿宋_GB2312" w:eastAsia="仿宋_GB2312" w:cs="仿宋_GB2312"/>
          <w:color w:val="auto"/>
          <w:sz w:val="32"/>
          <w:szCs w:val="32"/>
        </w:rPr>
        <w:t>万元，其他资金结转结余</w:t>
      </w:r>
      <w:r>
        <w:rPr>
          <w:rFonts w:hint="eastAsia" w:ascii="仿宋_GB2312" w:eastAsia="仿宋_GB2312" w:cs="仿宋_GB2312"/>
          <w:color w:val="auto"/>
          <w:sz w:val="32"/>
          <w:szCs w:val="32"/>
          <w:lang w:val="en-US"/>
        </w:rPr>
        <w:t>6.88</w:t>
      </w:r>
      <w:r>
        <w:rPr>
          <w:rFonts w:hint="eastAsia" w:ascii="仿宋_GB2312" w:eastAsia="仿宋_GB2312" w:cs="仿宋_GB2312"/>
          <w:color w:val="auto"/>
          <w:sz w:val="32"/>
          <w:szCs w:val="32"/>
        </w:rPr>
        <w:t>万元。</w:t>
      </w:r>
    </w:p>
    <w:p>
      <w:pPr>
        <w:keepNext w:val="0"/>
        <w:keepLines w:val="0"/>
        <w:widowControl/>
        <w:suppressLineNumbers w:val="0"/>
        <w:autoSpaceDE w:val="0"/>
        <w:autoSpaceDN w:val="0"/>
        <w:spacing w:before="100" w:beforeAutospacing="0" w:after="100" w:afterAutospacing="0" w:line="580" w:lineRule="atLeast"/>
        <w:ind w:left="0" w:right="0" w:firstLine="600"/>
        <w:jc w:val="left"/>
        <w:rPr>
          <w:color w:val="auto"/>
        </w:rPr>
      </w:pPr>
      <w:r>
        <w:rPr>
          <w:rFonts w:hint="default" w:ascii="Times New Roman" w:hAnsi="Times New Roman" w:cs="Times New Roman"/>
          <w:color w:val="auto"/>
          <w:sz w:val="32"/>
          <w:szCs w:val="32"/>
          <w:lang w:val="en-US"/>
        </w:rPr>
        <w:t> </w:t>
      </w:r>
      <w:r>
        <w:rPr>
          <w:rFonts w:hint="eastAsia" w:ascii="楷体" w:hAnsi="楷体" w:eastAsia="楷体" w:cs="楷体"/>
          <w:b/>
          <w:bCs/>
          <w:color w:val="auto"/>
          <w:sz w:val="32"/>
          <w:szCs w:val="32"/>
        </w:rPr>
        <w:t>（十一）政府采购支出情况</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本</w:t>
      </w:r>
      <w:r>
        <w:rPr>
          <w:rFonts w:hint="eastAsia" w:ascii="仿宋_GB2312" w:eastAsia="仿宋_GB2312" w:cs="仿宋_GB2312"/>
          <w:color w:val="auto"/>
          <w:sz w:val="32"/>
          <w:szCs w:val="32"/>
          <w:lang w:val="en-US" w:eastAsia="zh-CN"/>
        </w:rPr>
        <w:t>单位</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年度政府采购支出合计</w:t>
      </w:r>
      <w:r>
        <w:rPr>
          <w:rFonts w:hint="eastAsia" w:ascii="仿宋_GB2312" w:eastAsia="仿宋_GB2312" w:cs="仿宋_GB2312"/>
          <w:color w:val="auto"/>
          <w:sz w:val="32"/>
          <w:szCs w:val="32"/>
          <w:lang w:val="en-US"/>
        </w:rPr>
        <w:t>1,439.10</w:t>
      </w:r>
      <w:r>
        <w:rPr>
          <w:rFonts w:hint="eastAsia" w:ascii="仿宋_GB2312" w:eastAsia="仿宋_GB2312" w:cs="仿宋_GB2312"/>
          <w:color w:val="auto"/>
          <w:sz w:val="32"/>
          <w:szCs w:val="32"/>
        </w:rPr>
        <w:t>万元，其中：政府采购货物支出</w:t>
      </w:r>
      <w:r>
        <w:rPr>
          <w:rFonts w:hint="eastAsia" w:ascii="仿宋_GB2312" w:eastAsia="仿宋_GB2312" w:cs="仿宋_GB2312"/>
          <w:color w:val="auto"/>
          <w:sz w:val="32"/>
          <w:szCs w:val="32"/>
          <w:lang w:val="en-US"/>
        </w:rPr>
        <w:t>3.12</w:t>
      </w:r>
      <w:r>
        <w:rPr>
          <w:rFonts w:hint="eastAsia" w:ascii="仿宋_GB2312" w:eastAsia="仿宋_GB2312" w:cs="仿宋_GB2312"/>
          <w:color w:val="auto"/>
          <w:sz w:val="32"/>
          <w:szCs w:val="32"/>
        </w:rPr>
        <w:t>万元，比</w:t>
      </w:r>
      <w:r>
        <w:rPr>
          <w:rFonts w:hint="eastAsia" w:ascii="仿宋_GB2312" w:eastAsia="仿宋_GB2312" w:cs="仿宋_GB2312"/>
          <w:color w:val="auto"/>
          <w:sz w:val="32"/>
          <w:szCs w:val="32"/>
          <w:lang w:val="en-US"/>
        </w:rPr>
        <w:t>2020</w:t>
      </w:r>
      <w:r>
        <w:rPr>
          <w:rFonts w:hint="eastAsia" w:ascii="仿宋_GB2312" w:eastAsia="仿宋_GB2312" w:cs="仿宋_GB2312"/>
          <w:color w:val="auto"/>
          <w:sz w:val="32"/>
          <w:szCs w:val="32"/>
        </w:rPr>
        <w:t>年减少</w:t>
      </w:r>
      <w:r>
        <w:rPr>
          <w:rFonts w:hint="eastAsia" w:ascii="仿宋_GB2312" w:eastAsia="仿宋_GB2312" w:cs="仿宋_GB2312"/>
          <w:color w:val="auto"/>
          <w:sz w:val="32"/>
          <w:szCs w:val="32"/>
          <w:lang w:val="en-US"/>
        </w:rPr>
        <w:t>8.54</w:t>
      </w:r>
      <w:r>
        <w:rPr>
          <w:rFonts w:hint="eastAsia" w:ascii="仿宋_GB2312" w:eastAsia="仿宋_GB2312" w:cs="仿宋_GB2312"/>
          <w:color w:val="auto"/>
          <w:sz w:val="32"/>
          <w:szCs w:val="32"/>
        </w:rPr>
        <w:t>万元，降低</w:t>
      </w:r>
      <w:r>
        <w:rPr>
          <w:rFonts w:hint="eastAsia" w:ascii="仿宋_GB2312" w:eastAsia="仿宋_GB2312" w:cs="仿宋_GB2312"/>
          <w:color w:val="auto"/>
          <w:sz w:val="32"/>
          <w:szCs w:val="32"/>
          <w:lang w:val="en-US"/>
        </w:rPr>
        <w:t>73.23%</w:t>
      </w:r>
      <w:r>
        <w:rPr>
          <w:rFonts w:hint="eastAsia" w:ascii="仿宋_GB2312" w:eastAsia="仿宋_GB2312" w:cs="仿宋_GB2312"/>
          <w:color w:val="auto"/>
          <w:sz w:val="32"/>
          <w:szCs w:val="32"/>
        </w:rPr>
        <w:t>，主要原因是：</w:t>
      </w:r>
      <w:r>
        <w:rPr>
          <w:rFonts w:hint="eastAsia" w:ascii="仿宋_GB2312" w:eastAsia="仿宋_GB2312" w:cs="仿宋_GB2312"/>
          <w:color w:val="auto"/>
          <w:sz w:val="32"/>
          <w:szCs w:val="32"/>
          <w:lang w:val="en-US" w:eastAsia="zh-CN"/>
        </w:rPr>
        <w:t>建设民政福利园区支出减少</w:t>
      </w:r>
      <w:r>
        <w:rPr>
          <w:rFonts w:hint="eastAsia" w:ascii="仿宋_GB2312" w:eastAsia="仿宋_GB2312" w:cs="仿宋_GB2312"/>
          <w:color w:val="auto"/>
          <w:sz w:val="32"/>
          <w:szCs w:val="32"/>
        </w:rPr>
        <w:t>；政府采购工程支出</w:t>
      </w:r>
      <w:r>
        <w:rPr>
          <w:rFonts w:hint="eastAsia" w:ascii="仿宋_GB2312" w:eastAsia="仿宋_GB2312" w:cs="仿宋_GB2312"/>
          <w:color w:val="auto"/>
          <w:sz w:val="32"/>
          <w:szCs w:val="32"/>
          <w:lang w:val="en-US"/>
        </w:rPr>
        <w:t>180.00</w:t>
      </w:r>
      <w:r>
        <w:rPr>
          <w:rFonts w:hint="eastAsia" w:ascii="仿宋_GB2312" w:eastAsia="仿宋_GB2312" w:cs="仿宋_GB2312"/>
          <w:color w:val="auto"/>
          <w:sz w:val="32"/>
          <w:szCs w:val="32"/>
        </w:rPr>
        <w:t>万元，比</w:t>
      </w:r>
      <w:r>
        <w:rPr>
          <w:rFonts w:hint="eastAsia" w:ascii="仿宋_GB2312" w:eastAsia="仿宋_GB2312" w:cs="仿宋_GB2312"/>
          <w:color w:val="auto"/>
          <w:sz w:val="32"/>
          <w:szCs w:val="32"/>
          <w:lang w:val="en-US"/>
        </w:rPr>
        <w:t>2020</w:t>
      </w:r>
      <w:r>
        <w:rPr>
          <w:rFonts w:hint="eastAsia" w:ascii="仿宋_GB2312" w:eastAsia="仿宋_GB2312" w:cs="仿宋_GB2312"/>
          <w:color w:val="auto"/>
          <w:sz w:val="32"/>
          <w:szCs w:val="32"/>
        </w:rPr>
        <w:t>年减少</w:t>
      </w:r>
      <w:r>
        <w:rPr>
          <w:rFonts w:hint="eastAsia" w:ascii="仿宋_GB2312" w:eastAsia="仿宋_GB2312" w:cs="仿宋_GB2312"/>
          <w:color w:val="auto"/>
          <w:sz w:val="32"/>
          <w:szCs w:val="32"/>
          <w:lang w:val="en-US"/>
        </w:rPr>
        <w:t>2,209.86</w:t>
      </w:r>
      <w:r>
        <w:rPr>
          <w:rFonts w:hint="eastAsia" w:ascii="仿宋_GB2312" w:eastAsia="仿宋_GB2312" w:cs="仿宋_GB2312"/>
          <w:color w:val="auto"/>
          <w:sz w:val="32"/>
          <w:szCs w:val="32"/>
        </w:rPr>
        <w:t>万元，降低</w:t>
      </w:r>
      <w:r>
        <w:rPr>
          <w:rFonts w:hint="eastAsia" w:ascii="仿宋_GB2312" w:eastAsia="仿宋_GB2312" w:cs="仿宋_GB2312"/>
          <w:color w:val="auto"/>
          <w:sz w:val="32"/>
          <w:szCs w:val="32"/>
          <w:lang w:val="en-US"/>
        </w:rPr>
        <w:t>92.47%</w:t>
      </w:r>
      <w:r>
        <w:rPr>
          <w:rFonts w:hint="eastAsia" w:ascii="仿宋_GB2312" w:eastAsia="仿宋_GB2312" w:cs="仿宋_GB2312"/>
          <w:color w:val="auto"/>
          <w:sz w:val="32"/>
          <w:szCs w:val="32"/>
        </w:rPr>
        <w:t>，主要原因是：</w:t>
      </w:r>
      <w:r>
        <w:rPr>
          <w:rFonts w:hint="eastAsia" w:ascii="仿宋_GB2312" w:eastAsia="仿宋_GB2312" w:cs="仿宋_GB2312"/>
          <w:color w:val="auto"/>
          <w:sz w:val="32"/>
          <w:szCs w:val="32"/>
          <w:lang w:val="en-US" w:eastAsia="zh-CN"/>
        </w:rPr>
        <w:t>建设民政福利园区支出减少</w:t>
      </w:r>
      <w:r>
        <w:rPr>
          <w:rFonts w:hint="eastAsia" w:ascii="仿宋_GB2312" w:eastAsia="仿宋_GB2312" w:cs="仿宋_GB2312"/>
          <w:color w:val="auto"/>
          <w:sz w:val="32"/>
          <w:szCs w:val="32"/>
        </w:rPr>
        <w:t>；政府采购服务支出</w:t>
      </w:r>
      <w:r>
        <w:rPr>
          <w:rFonts w:hint="eastAsia" w:ascii="仿宋_GB2312" w:eastAsia="仿宋_GB2312" w:cs="仿宋_GB2312"/>
          <w:color w:val="auto"/>
          <w:sz w:val="32"/>
          <w:szCs w:val="32"/>
          <w:lang w:val="en-US"/>
        </w:rPr>
        <w:t>1,255.98</w:t>
      </w:r>
      <w:r>
        <w:rPr>
          <w:rFonts w:hint="eastAsia" w:ascii="仿宋_GB2312" w:eastAsia="仿宋_GB2312" w:cs="仿宋_GB2312"/>
          <w:color w:val="auto"/>
          <w:sz w:val="32"/>
          <w:szCs w:val="32"/>
        </w:rPr>
        <w:t>万元，比</w:t>
      </w:r>
      <w:r>
        <w:rPr>
          <w:rFonts w:hint="eastAsia" w:ascii="仿宋_GB2312" w:eastAsia="仿宋_GB2312" w:cs="仿宋_GB2312"/>
          <w:color w:val="auto"/>
          <w:sz w:val="32"/>
          <w:szCs w:val="32"/>
          <w:lang w:val="en-US"/>
        </w:rPr>
        <w:t>2020</w:t>
      </w:r>
      <w:r>
        <w:rPr>
          <w:rFonts w:hint="eastAsia" w:ascii="仿宋_GB2312" w:eastAsia="仿宋_GB2312" w:cs="仿宋_GB2312"/>
          <w:color w:val="auto"/>
          <w:sz w:val="32"/>
          <w:szCs w:val="32"/>
        </w:rPr>
        <w:t>年增加</w:t>
      </w:r>
      <w:r>
        <w:rPr>
          <w:rFonts w:hint="eastAsia" w:ascii="仿宋_GB2312" w:eastAsia="仿宋_GB2312" w:cs="仿宋_GB2312"/>
          <w:color w:val="auto"/>
          <w:sz w:val="32"/>
          <w:szCs w:val="32"/>
          <w:lang w:val="en-US"/>
        </w:rPr>
        <w:t>1,084.38</w:t>
      </w:r>
      <w:r>
        <w:rPr>
          <w:rFonts w:hint="eastAsia" w:ascii="仿宋_GB2312" w:eastAsia="仿宋_GB2312" w:cs="仿宋_GB2312"/>
          <w:color w:val="auto"/>
          <w:sz w:val="32"/>
          <w:szCs w:val="32"/>
        </w:rPr>
        <w:t>万元，增长</w:t>
      </w:r>
      <w:r>
        <w:rPr>
          <w:rFonts w:hint="eastAsia" w:ascii="仿宋_GB2312" w:eastAsia="仿宋_GB2312" w:cs="仿宋_GB2312"/>
          <w:color w:val="auto"/>
          <w:sz w:val="32"/>
          <w:szCs w:val="32"/>
          <w:lang w:val="en-US"/>
        </w:rPr>
        <w:t>631.91%</w:t>
      </w:r>
      <w:r>
        <w:rPr>
          <w:rFonts w:hint="eastAsia" w:ascii="仿宋_GB2312" w:eastAsia="仿宋_GB2312" w:cs="仿宋_GB2312"/>
          <w:color w:val="auto"/>
          <w:sz w:val="32"/>
          <w:szCs w:val="32"/>
        </w:rPr>
        <w:t>，主要原因是：</w:t>
      </w:r>
      <w:r>
        <w:rPr>
          <w:rFonts w:hint="eastAsia" w:ascii="仿宋_GB2312" w:eastAsia="仿宋_GB2312" w:cs="仿宋_GB2312"/>
          <w:color w:val="auto"/>
          <w:sz w:val="32"/>
          <w:szCs w:val="32"/>
          <w:lang w:val="en-US" w:eastAsia="zh-CN"/>
        </w:rPr>
        <w:t>2021年政府采购服务支出增多</w:t>
      </w:r>
      <w:r>
        <w:rPr>
          <w:rFonts w:hint="eastAsia" w:ascii="仿宋_GB2312" w:eastAsia="仿宋_GB2312" w:cs="仿宋_GB2312"/>
          <w:color w:val="auto"/>
          <w:sz w:val="32"/>
          <w:szCs w:val="32"/>
        </w:rPr>
        <w:t>。授予中小企业合同金额</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万元，占政府采购支出合同总额的</w:t>
      </w:r>
      <w:r>
        <w:rPr>
          <w:rFonts w:hint="eastAsia" w:ascii="仿宋_GB2312" w:eastAsia="仿宋_GB2312" w:cs="仿宋_GB2312"/>
          <w:color w:val="auto"/>
          <w:sz w:val="32"/>
          <w:szCs w:val="32"/>
          <w:lang w:val="en-US" w:eastAsia="zh-CN"/>
        </w:rPr>
        <w:t>0</w:t>
      </w:r>
      <w:r>
        <w:rPr>
          <w:rFonts w:hint="eastAsia" w:ascii="仿宋_GB2312" w:eastAsia="仿宋_GB2312" w:cs="仿宋_GB2312"/>
          <w:color w:val="auto"/>
          <w:sz w:val="32"/>
          <w:szCs w:val="32"/>
          <w:lang w:val="en-US"/>
        </w:rPr>
        <w:t>%</w:t>
      </w:r>
      <w:r>
        <w:rPr>
          <w:rFonts w:hint="eastAsia" w:ascii="仿宋_GB2312" w:eastAsia="仿宋_GB2312" w:cs="仿宋_GB2312"/>
          <w:color w:val="auto"/>
          <w:sz w:val="32"/>
          <w:szCs w:val="32"/>
        </w:rPr>
        <w:t>。其中：授予小微企业合同金额</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万元，占政府采购支出合同总额的</w:t>
      </w:r>
      <w:r>
        <w:rPr>
          <w:rFonts w:hint="eastAsia" w:ascii="仿宋_GB2312" w:eastAsia="仿宋_GB2312" w:cs="仿宋_GB2312"/>
          <w:color w:val="auto"/>
          <w:sz w:val="32"/>
          <w:szCs w:val="32"/>
          <w:lang w:val="en-US" w:eastAsia="zh-CN"/>
        </w:rPr>
        <w:t>0</w:t>
      </w:r>
      <w:r>
        <w:rPr>
          <w:rFonts w:hint="eastAsia" w:ascii="仿宋_GB2312" w:eastAsia="仿宋_GB2312" w:cs="仿宋_GB2312"/>
          <w:color w:val="auto"/>
          <w:sz w:val="32"/>
          <w:szCs w:val="32"/>
          <w:lang w:val="en-US"/>
        </w:rPr>
        <w:t>%</w:t>
      </w:r>
      <w:r>
        <w:rPr>
          <w:rFonts w:hint="eastAsia" w:ascii="仿宋_GB2312" w:eastAsia="仿宋_GB2312" w:cs="仿宋_GB2312"/>
          <w:color w:val="auto"/>
          <w:sz w:val="32"/>
          <w:szCs w:val="32"/>
        </w:rPr>
        <w:t>。</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楷体" w:hAnsi="楷体" w:eastAsia="楷体" w:cs="楷体"/>
          <w:b/>
          <w:bCs/>
          <w:color w:val="auto"/>
          <w:sz w:val="32"/>
          <w:szCs w:val="32"/>
        </w:rPr>
        <w:t>（十二）机关运行经费支出情况</w:t>
      </w:r>
    </w:p>
    <w:p>
      <w:pPr>
        <w:keepNext w:val="0"/>
        <w:keepLines w:val="0"/>
        <w:widowControl/>
        <w:suppressLineNumbers w:val="0"/>
        <w:autoSpaceDE w:val="0"/>
        <w:autoSpaceDN w:val="0"/>
        <w:spacing w:before="100" w:beforeAutospacing="0" w:after="100" w:afterAutospacing="0" w:line="580" w:lineRule="atLeast"/>
        <w:ind w:left="0" w:right="0" w:firstLine="6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w:t>
      </w:r>
      <w:r>
        <w:rPr>
          <w:rFonts w:hint="eastAsia" w:ascii="仿宋_GB2312" w:hAnsi="仿宋_GB2312" w:eastAsia="仿宋_GB2312" w:cs="仿宋_GB2312"/>
          <w:color w:val="auto"/>
          <w:sz w:val="32"/>
          <w:szCs w:val="32"/>
          <w:lang w:val="en-US" w:eastAsia="zh-CN"/>
        </w:rPr>
        <w:t>单位</w:t>
      </w:r>
      <w:r>
        <w:rPr>
          <w:rFonts w:hint="eastAsia" w:ascii="仿宋_GB2312" w:hAnsi="仿宋_GB2312" w:eastAsia="仿宋_GB2312" w:cs="仿宋_GB2312"/>
          <w:color w:val="auto"/>
          <w:sz w:val="32"/>
          <w:szCs w:val="32"/>
          <w:lang w:val="en-US"/>
        </w:rPr>
        <w:t>2021</w:t>
      </w:r>
      <w:r>
        <w:rPr>
          <w:rFonts w:hint="eastAsia" w:ascii="仿宋_GB2312" w:hAnsi="仿宋_GB2312" w:eastAsia="仿宋_GB2312" w:cs="仿宋_GB2312"/>
          <w:color w:val="auto"/>
          <w:sz w:val="32"/>
          <w:szCs w:val="32"/>
        </w:rPr>
        <w:t>年度机关运行经费支出60.78万元，比</w:t>
      </w:r>
      <w:r>
        <w:rPr>
          <w:rFonts w:hint="eastAsia" w:ascii="仿宋_GB2312" w:hAnsi="仿宋_GB2312" w:eastAsia="仿宋_GB2312" w:cs="仿宋_GB2312"/>
          <w:color w:val="auto"/>
          <w:sz w:val="32"/>
          <w:szCs w:val="32"/>
          <w:lang w:val="en-US"/>
        </w:rPr>
        <w:t>2020</w:t>
      </w:r>
      <w:r>
        <w:rPr>
          <w:rFonts w:hint="eastAsia" w:ascii="仿宋_GB2312" w:hAnsi="仿宋_GB2312" w:eastAsia="仿宋_GB2312" w:cs="仿宋_GB2312"/>
          <w:color w:val="auto"/>
          <w:sz w:val="32"/>
          <w:szCs w:val="32"/>
        </w:rPr>
        <w:t>年增加</w:t>
      </w:r>
      <w:r>
        <w:rPr>
          <w:rFonts w:hint="eastAsia" w:ascii="仿宋_GB2312" w:hAnsi="仿宋_GB2312" w:eastAsia="仿宋_GB2312" w:cs="仿宋_GB2312"/>
          <w:color w:val="auto"/>
          <w:sz w:val="32"/>
          <w:szCs w:val="32"/>
          <w:lang w:val="en-US"/>
        </w:rPr>
        <w:t>19.41</w:t>
      </w:r>
      <w:r>
        <w:rPr>
          <w:rFonts w:hint="eastAsia" w:ascii="仿宋_GB2312" w:hAnsi="仿宋_GB2312" w:eastAsia="仿宋_GB2312" w:cs="仿宋_GB2312"/>
          <w:color w:val="auto"/>
          <w:sz w:val="32"/>
          <w:szCs w:val="32"/>
        </w:rPr>
        <w:t>万元，增长</w:t>
      </w:r>
      <w:r>
        <w:rPr>
          <w:rFonts w:hint="eastAsia" w:ascii="仿宋_GB2312" w:hAnsi="仿宋_GB2312" w:eastAsia="仿宋_GB2312" w:cs="仿宋_GB2312"/>
          <w:color w:val="auto"/>
          <w:sz w:val="32"/>
          <w:szCs w:val="32"/>
          <w:lang w:val="en-US"/>
        </w:rPr>
        <w:t>46.92%</w:t>
      </w:r>
      <w:r>
        <w:rPr>
          <w:rFonts w:hint="eastAsia" w:ascii="仿宋_GB2312" w:hAnsi="仿宋_GB2312" w:eastAsia="仿宋_GB2312" w:cs="仿宋_GB2312"/>
          <w:color w:val="auto"/>
          <w:sz w:val="32"/>
          <w:szCs w:val="32"/>
        </w:rPr>
        <w:t>。主要原因是：</w:t>
      </w:r>
      <w:r>
        <w:rPr>
          <w:rFonts w:hint="eastAsia" w:ascii="仿宋_GB2312" w:hAnsi="仿宋_GB2312" w:eastAsia="仿宋_GB2312" w:cs="仿宋_GB2312"/>
          <w:color w:val="auto"/>
          <w:sz w:val="32"/>
          <w:szCs w:val="32"/>
          <w:lang w:val="en-US" w:eastAsia="zh-CN"/>
        </w:rPr>
        <w:t>职工公车补贴计入其他交通费用中</w:t>
      </w:r>
      <w:r>
        <w:rPr>
          <w:rFonts w:hint="eastAsia" w:ascii="仿宋_GB2312" w:hAnsi="仿宋_GB2312" w:eastAsia="仿宋_GB2312" w:cs="仿宋_GB2312"/>
          <w:color w:val="auto"/>
          <w:sz w:val="32"/>
          <w:szCs w:val="32"/>
        </w:rPr>
        <w:t>。</w:t>
      </w:r>
    </w:p>
    <w:p>
      <w:pPr>
        <w:keepNext w:val="0"/>
        <w:keepLines w:val="0"/>
        <w:widowControl/>
        <w:suppressLineNumbers w:val="0"/>
        <w:autoSpaceDE w:val="0"/>
        <w:autoSpaceDN w:val="0"/>
        <w:spacing w:before="100" w:beforeAutospacing="0" w:after="100" w:afterAutospacing="0" w:line="580" w:lineRule="atLeast"/>
        <w:ind w:left="0" w:right="0" w:firstLine="6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rPr>
        <w:t> </w:t>
      </w:r>
      <w:r>
        <w:rPr>
          <w:rFonts w:hint="eastAsia" w:ascii="仿宋_GB2312" w:hAnsi="仿宋_GB2312" w:eastAsia="仿宋_GB2312" w:cs="仿宋_GB2312"/>
          <w:color w:val="auto"/>
          <w:sz w:val="32"/>
          <w:szCs w:val="32"/>
        </w:rPr>
        <w:t>本</w:t>
      </w:r>
      <w:r>
        <w:rPr>
          <w:rFonts w:hint="eastAsia" w:ascii="仿宋_GB2312" w:hAnsi="仿宋_GB2312" w:eastAsia="仿宋_GB2312" w:cs="仿宋_GB2312"/>
          <w:color w:val="auto"/>
          <w:sz w:val="32"/>
          <w:szCs w:val="32"/>
          <w:lang w:val="en-US" w:eastAsia="zh-CN"/>
        </w:rPr>
        <w:t>单位</w:t>
      </w:r>
      <w:r>
        <w:rPr>
          <w:rFonts w:hint="eastAsia" w:ascii="仿宋_GB2312" w:hAnsi="仿宋_GB2312" w:eastAsia="仿宋_GB2312" w:cs="仿宋_GB2312"/>
          <w:color w:val="auto"/>
          <w:sz w:val="32"/>
          <w:szCs w:val="32"/>
        </w:rPr>
        <w:t>2021年度机关公用经费支出60.78万元，比2020年增加19.41万元，增长46.92%。主要原因是：</w:t>
      </w:r>
      <w:r>
        <w:rPr>
          <w:rFonts w:hint="eastAsia" w:ascii="仿宋_GB2312" w:hAnsi="仿宋_GB2312" w:eastAsia="仿宋_GB2312" w:cs="仿宋_GB2312"/>
          <w:color w:val="auto"/>
          <w:sz w:val="32"/>
          <w:szCs w:val="32"/>
          <w:lang w:val="en-US" w:eastAsia="zh-CN"/>
        </w:rPr>
        <w:t>职工公车补贴计入其他交通费用中</w:t>
      </w:r>
      <w:r>
        <w:rPr>
          <w:rFonts w:hint="eastAsia" w:ascii="仿宋_GB2312" w:hAnsi="仿宋_GB2312" w:eastAsia="仿宋_GB2312" w:cs="仿宋_GB2312"/>
          <w:color w:val="auto"/>
          <w:sz w:val="32"/>
          <w:szCs w:val="32"/>
        </w:rPr>
        <w:t>。</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楷体" w:hAnsi="楷体" w:eastAsia="楷体" w:cs="楷体"/>
          <w:b/>
          <w:bCs/>
          <w:color w:val="auto"/>
          <w:sz w:val="32"/>
          <w:szCs w:val="32"/>
        </w:rPr>
        <w:t>（十三）国有资产占用情况</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截至</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w:t>
      </w:r>
      <w:r>
        <w:rPr>
          <w:rFonts w:hint="eastAsia" w:ascii="仿宋_GB2312" w:eastAsia="仿宋_GB2312" w:cs="仿宋_GB2312"/>
          <w:color w:val="auto"/>
          <w:sz w:val="32"/>
          <w:szCs w:val="32"/>
          <w:lang w:val="en-US"/>
        </w:rPr>
        <w:t>12</w:t>
      </w:r>
      <w:r>
        <w:rPr>
          <w:rFonts w:hint="eastAsia" w:ascii="仿宋_GB2312" w:eastAsia="仿宋_GB2312" w:cs="仿宋_GB2312"/>
          <w:color w:val="auto"/>
          <w:sz w:val="32"/>
          <w:szCs w:val="32"/>
        </w:rPr>
        <w:t>月</w:t>
      </w:r>
      <w:r>
        <w:rPr>
          <w:rFonts w:hint="eastAsia" w:ascii="仿宋_GB2312" w:eastAsia="仿宋_GB2312" w:cs="仿宋_GB2312"/>
          <w:color w:val="auto"/>
          <w:sz w:val="32"/>
          <w:szCs w:val="32"/>
          <w:lang w:val="en-US"/>
        </w:rPr>
        <w:t>31</w:t>
      </w:r>
      <w:r>
        <w:rPr>
          <w:rFonts w:hint="eastAsia" w:ascii="仿宋_GB2312" w:eastAsia="仿宋_GB2312" w:cs="仿宋_GB2312"/>
          <w:color w:val="auto"/>
          <w:sz w:val="32"/>
          <w:szCs w:val="32"/>
        </w:rPr>
        <w:t>日，本</w:t>
      </w:r>
      <w:r>
        <w:rPr>
          <w:rFonts w:hint="eastAsia" w:ascii="仿宋_GB2312" w:eastAsia="仿宋_GB2312" w:cs="仿宋_GB2312"/>
          <w:color w:val="auto"/>
          <w:sz w:val="32"/>
          <w:szCs w:val="32"/>
          <w:lang w:val="en-US" w:eastAsia="zh-CN"/>
        </w:rPr>
        <w:t>单位</w:t>
      </w:r>
      <w:r>
        <w:rPr>
          <w:rFonts w:hint="eastAsia" w:ascii="仿宋_GB2312" w:eastAsia="仿宋_GB2312" w:cs="仿宋_GB2312"/>
          <w:color w:val="auto"/>
          <w:sz w:val="32"/>
          <w:szCs w:val="32"/>
        </w:rPr>
        <w:t>共有车辆</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辆，其中，副部（省）级及以上领导用车</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辆</w:t>
      </w:r>
      <w:r>
        <w:rPr>
          <w:rFonts w:hint="eastAsia" w:ascii="宋体" w:hAnsi="宋体" w:eastAsia="宋体" w:cs="宋体"/>
          <w:color w:val="auto"/>
          <w:sz w:val="32"/>
          <w:szCs w:val="32"/>
        </w:rPr>
        <w:t>、</w:t>
      </w:r>
      <w:r>
        <w:rPr>
          <w:rFonts w:hint="eastAsia" w:ascii="仿宋_GB2312" w:eastAsia="仿宋_GB2312" w:cs="仿宋_GB2312"/>
          <w:color w:val="auto"/>
          <w:sz w:val="32"/>
          <w:szCs w:val="32"/>
        </w:rPr>
        <w:t>主要领导干部用车</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辆、机要通信用车</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辆、应急保障用车</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辆、执法执勤用车</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辆</w:t>
      </w:r>
      <w:r>
        <w:rPr>
          <w:rFonts w:hint="eastAsia" w:ascii="宋体" w:hAnsi="宋体" w:eastAsia="宋体" w:cs="宋体"/>
          <w:color w:val="auto"/>
          <w:sz w:val="32"/>
          <w:szCs w:val="32"/>
        </w:rPr>
        <w:t>、</w:t>
      </w:r>
      <w:r>
        <w:rPr>
          <w:rFonts w:hint="eastAsia" w:ascii="仿宋_GB2312" w:eastAsia="仿宋_GB2312" w:cs="仿宋_GB2312"/>
          <w:color w:val="auto"/>
          <w:sz w:val="32"/>
          <w:szCs w:val="32"/>
        </w:rPr>
        <w:t>特种专业技术用车</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辆</w:t>
      </w:r>
      <w:r>
        <w:rPr>
          <w:rFonts w:hint="eastAsia" w:ascii="宋体" w:hAnsi="宋体" w:eastAsia="宋体" w:cs="宋体"/>
          <w:color w:val="auto"/>
          <w:sz w:val="32"/>
          <w:szCs w:val="32"/>
        </w:rPr>
        <w:t>、</w:t>
      </w:r>
      <w:r>
        <w:rPr>
          <w:rFonts w:hint="eastAsia" w:ascii="仿宋_GB2312" w:eastAsia="仿宋_GB2312" w:cs="仿宋_GB2312"/>
          <w:color w:val="auto"/>
          <w:sz w:val="32"/>
          <w:szCs w:val="32"/>
        </w:rPr>
        <w:t>离退休干部用车</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辆</w:t>
      </w:r>
      <w:r>
        <w:rPr>
          <w:rFonts w:hint="eastAsia" w:ascii="宋体" w:hAnsi="宋体" w:eastAsia="宋体" w:cs="宋体"/>
          <w:color w:val="auto"/>
          <w:sz w:val="32"/>
          <w:szCs w:val="32"/>
        </w:rPr>
        <w:t>、</w:t>
      </w:r>
      <w:r>
        <w:rPr>
          <w:rFonts w:hint="eastAsia" w:ascii="仿宋_GB2312" w:eastAsia="仿宋_GB2312" w:cs="仿宋_GB2312"/>
          <w:color w:val="auto"/>
          <w:sz w:val="32"/>
          <w:szCs w:val="32"/>
        </w:rPr>
        <w:t>其他用车</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辆；单位价值</w:t>
      </w:r>
      <w:r>
        <w:rPr>
          <w:rFonts w:hint="eastAsia" w:ascii="仿宋_GB2312" w:eastAsia="仿宋_GB2312" w:cs="仿宋_GB2312"/>
          <w:color w:val="auto"/>
          <w:sz w:val="32"/>
          <w:szCs w:val="32"/>
          <w:lang w:val="en-US"/>
        </w:rPr>
        <w:t>50</w:t>
      </w:r>
      <w:r>
        <w:rPr>
          <w:rFonts w:hint="eastAsia" w:ascii="仿宋_GB2312" w:eastAsia="仿宋_GB2312" w:cs="仿宋_GB2312"/>
          <w:color w:val="auto"/>
          <w:sz w:val="32"/>
          <w:szCs w:val="32"/>
        </w:rPr>
        <w:t>万元以上通用设备</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台（套），比</w:t>
      </w:r>
      <w:r>
        <w:rPr>
          <w:rFonts w:hint="eastAsia" w:ascii="仿宋_GB2312" w:eastAsia="仿宋_GB2312" w:cs="仿宋_GB2312"/>
          <w:color w:val="auto"/>
          <w:sz w:val="32"/>
          <w:szCs w:val="32"/>
          <w:lang w:val="en-US"/>
        </w:rPr>
        <w:t>2020</w:t>
      </w:r>
      <w:r>
        <w:rPr>
          <w:rFonts w:hint="eastAsia" w:ascii="仿宋_GB2312" w:eastAsia="仿宋_GB2312" w:cs="仿宋_GB2312"/>
          <w:color w:val="auto"/>
          <w:sz w:val="32"/>
          <w:szCs w:val="32"/>
        </w:rPr>
        <w:t>年增加（减少）</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台（套），主要原因是</w:t>
      </w:r>
      <w:r>
        <w:rPr>
          <w:rFonts w:hint="eastAsia" w:ascii="仿宋_GB2312" w:hAnsi="Times New Roman" w:eastAsia="仿宋_GB2312"/>
          <w:color w:val="auto"/>
          <w:sz w:val="32"/>
          <w:szCs w:val="24"/>
        </w:rPr>
        <w:t>无此专项设备</w:t>
      </w:r>
      <w:r>
        <w:rPr>
          <w:rFonts w:hint="eastAsia" w:ascii="仿宋_GB2312" w:eastAsia="仿宋_GB2312" w:cs="仿宋_GB2312"/>
          <w:color w:val="auto"/>
          <w:sz w:val="32"/>
          <w:szCs w:val="32"/>
          <w:lang w:val="en-US"/>
        </w:rPr>
        <w:t>;</w:t>
      </w:r>
      <w:r>
        <w:rPr>
          <w:rFonts w:hint="eastAsia" w:ascii="仿宋_GB2312" w:eastAsia="仿宋_GB2312" w:cs="仿宋_GB2312"/>
          <w:color w:val="auto"/>
          <w:sz w:val="32"/>
          <w:szCs w:val="32"/>
        </w:rPr>
        <w:t>单位价值</w:t>
      </w:r>
      <w:r>
        <w:rPr>
          <w:rFonts w:hint="eastAsia" w:ascii="仿宋_GB2312" w:eastAsia="仿宋_GB2312" w:cs="仿宋_GB2312"/>
          <w:color w:val="auto"/>
          <w:sz w:val="32"/>
          <w:szCs w:val="32"/>
          <w:lang w:val="en-US"/>
        </w:rPr>
        <w:t>100</w:t>
      </w:r>
      <w:r>
        <w:rPr>
          <w:rFonts w:hint="eastAsia" w:ascii="仿宋_GB2312" w:eastAsia="仿宋_GB2312" w:cs="仿宋_GB2312"/>
          <w:color w:val="auto"/>
          <w:sz w:val="32"/>
          <w:szCs w:val="32"/>
        </w:rPr>
        <w:t>万元以上专用设备</w:t>
      </w:r>
      <w:r>
        <w:rPr>
          <w:rFonts w:hint="eastAsia" w:ascii="仿宋_GB2312" w:eastAsia="仿宋_GB2312" w:cs="仿宋_GB2312"/>
          <w:color w:val="auto"/>
          <w:sz w:val="32"/>
          <w:szCs w:val="32"/>
          <w:lang w:val="en-US"/>
        </w:rPr>
        <w:t>0</w:t>
      </w:r>
      <w:r>
        <w:rPr>
          <w:rFonts w:hint="eastAsia" w:ascii="仿宋_GB2312" w:eastAsia="仿宋_GB2312" w:cs="仿宋_GB2312"/>
          <w:color w:val="auto"/>
          <w:sz w:val="32"/>
          <w:szCs w:val="32"/>
        </w:rPr>
        <w:t>台（套），比</w:t>
      </w:r>
      <w:r>
        <w:rPr>
          <w:rFonts w:hint="eastAsia" w:ascii="仿宋_GB2312" w:eastAsia="仿宋_GB2312" w:cs="仿宋_GB2312"/>
          <w:color w:val="auto"/>
          <w:sz w:val="32"/>
          <w:szCs w:val="32"/>
          <w:lang w:val="en-US"/>
        </w:rPr>
        <w:t>2020</w:t>
      </w:r>
      <w:r>
        <w:rPr>
          <w:rFonts w:hint="eastAsia" w:ascii="仿宋_GB2312" w:eastAsia="仿宋_GB2312" w:cs="仿宋_GB2312"/>
          <w:color w:val="auto"/>
          <w:sz w:val="32"/>
          <w:szCs w:val="32"/>
        </w:rPr>
        <w:t>年增加（减少）</w:t>
      </w:r>
      <w:r>
        <w:rPr>
          <w:rFonts w:hint="eastAsia" w:ascii="仿宋_GB2312" w:eastAsia="仿宋_GB2312" w:cs="仿宋_GB2312"/>
          <w:color w:val="auto"/>
          <w:sz w:val="32"/>
          <w:szCs w:val="32"/>
          <w:lang w:val="en-US"/>
        </w:rPr>
        <w:t>0.00</w:t>
      </w:r>
      <w:r>
        <w:rPr>
          <w:rFonts w:hint="eastAsia" w:ascii="仿宋_GB2312" w:eastAsia="仿宋_GB2312" w:cs="仿宋_GB2312"/>
          <w:color w:val="auto"/>
          <w:sz w:val="32"/>
          <w:szCs w:val="32"/>
        </w:rPr>
        <w:t>台（套），主要原因是</w:t>
      </w:r>
      <w:r>
        <w:rPr>
          <w:rFonts w:hint="eastAsia" w:ascii="仿宋_GB2312" w:hAnsi="Times New Roman" w:eastAsia="仿宋_GB2312"/>
          <w:color w:val="auto"/>
          <w:sz w:val="32"/>
          <w:szCs w:val="24"/>
        </w:rPr>
        <w:t>无此专项设备</w:t>
      </w:r>
      <w:r>
        <w:rPr>
          <w:rFonts w:hint="eastAsia" w:ascii="仿宋_GB2312" w:eastAsia="仿宋_GB2312" w:cs="仿宋_GB2312"/>
          <w:color w:val="auto"/>
          <w:sz w:val="32"/>
          <w:szCs w:val="32"/>
        </w:rPr>
        <w:t>。</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b/>
          <w:bCs/>
          <w:color w:val="auto"/>
          <w:sz w:val="32"/>
          <w:szCs w:val="32"/>
        </w:rPr>
        <w:t>三、预算绩效评价工作开展情况</w:t>
      </w:r>
    </w:p>
    <w:p>
      <w:pPr>
        <w:keepNext w:val="0"/>
        <w:keepLines w:val="0"/>
        <w:widowControl/>
        <w:suppressLineNumbers w:val="0"/>
        <w:autoSpaceDE w:val="0"/>
        <w:autoSpaceDN w:val="0"/>
        <w:spacing w:before="100" w:beforeAutospacing="1" w:after="100" w:afterAutospacing="1" w:line="580" w:lineRule="atLeast"/>
        <w:ind w:left="0" w:right="0" w:firstLine="600"/>
        <w:rPr>
          <w:color w:val="auto"/>
        </w:rPr>
      </w:pPr>
      <w:r>
        <w:rPr>
          <w:rFonts w:hint="eastAsia" w:ascii="仿宋_GB2312" w:eastAsia="仿宋_GB2312" w:cs="仿宋_GB2312"/>
          <w:color w:val="auto"/>
          <w:sz w:val="32"/>
          <w:szCs w:val="32"/>
        </w:rPr>
        <w:t>（一）预算绩效管理工作开展情况</w:t>
      </w:r>
    </w:p>
    <w:p>
      <w:pPr>
        <w:keepNext w:val="0"/>
        <w:keepLines w:val="0"/>
        <w:widowControl/>
        <w:suppressLineNumbers w:val="0"/>
        <w:autoSpaceDE w:val="0"/>
        <w:autoSpaceDN w:val="0"/>
        <w:spacing w:before="100" w:beforeAutospacing="1" w:after="100" w:afterAutospacing="1" w:line="580" w:lineRule="atLeast"/>
        <w:ind w:left="0" w:right="0" w:firstLine="600"/>
        <w:rPr>
          <w:rFonts w:hint="eastAsia" w:ascii="仿宋_GB2312" w:eastAsia="仿宋_GB2312" w:cs="仿宋_GB2312"/>
          <w:color w:val="auto"/>
          <w:sz w:val="32"/>
          <w:szCs w:val="32"/>
        </w:rPr>
      </w:pPr>
      <w:r>
        <w:rPr>
          <w:rFonts w:hint="eastAsia" w:ascii="仿宋_GB2312" w:eastAsia="仿宋_GB2312" w:cs="仿宋_GB2312"/>
          <w:color w:val="auto"/>
          <w:sz w:val="32"/>
          <w:szCs w:val="32"/>
        </w:rPr>
        <w:t>根据预算绩效管理要求，我单位组织对</w:t>
      </w:r>
      <w:r>
        <w:rPr>
          <w:rFonts w:hint="eastAsia" w:ascii="仿宋_GB2312" w:eastAsia="仿宋_GB2312" w:cs="仿宋_GB2312"/>
          <w:color w:val="auto"/>
          <w:sz w:val="32"/>
          <w:szCs w:val="32"/>
          <w:lang w:val="en-US"/>
        </w:rPr>
        <w:t>2021</w:t>
      </w:r>
      <w:r>
        <w:rPr>
          <w:rFonts w:hint="eastAsia" w:ascii="仿宋_GB2312" w:eastAsia="仿宋_GB2312" w:cs="仿宋_GB2312"/>
          <w:color w:val="auto"/>
          <w:sz w:val="32"/>
          <w:szCs w:val="32"/>
        </w:rPr>
        <w:t>年度一般公共预算项目支出全面开展绩效自评，其中，一级项目</w:t>
      </w:r>
      <w:r>
        <w:rPr>
          <w:rFonts w:hint="eastAsia" w:ascii="仿宋_GB2312" w:eastAsia="仿宋_GB2312" w:cs="仿宋_GB2312"/>
          <w:color w:val="auto"/>
          <w:sz w:val="32"/>
          <w:szCs w:val="32"/>
          <w:lang w:val="en-US" w:eastAsia="zh-CN"/>
        </w:rPr>
        <w:t>5</w:t>
      </w:r>
      <w:r>
        <w:rPr>
          <w:rFonts w:hint="eastAsia" w:ascii="仿宋_GB2312" w:eastAsia="仿宋_GB2312" w:cs="仿宋_GB2312"/>
          <w:color w:val="auto"/>
          <w:sz w:val="32"/>
          <w:szCs w:val="32"/>
        </w:rPr>
        <w:t>个，二级项目</w:t>
      </w:r>
      <w:r>
        <w:rPr>
          <w:rFonts w:hint="eastAsia" w:ascii="仿宋_GB2312" w:eastAsia="仿宋_GB2312" w:cs="仿宋_GB2312"/>
          <w:color w:val="auto"/>
          <w:sz w:val="32"/>
          <w:szCs w:val="32"/>
          <w:lang w:val="en-US" w:eastAsia="zh-CN"/>
        </w:rPr>
        <w:t>0</w:t>
      </w:r>
      <w:r>
        <w:rPr>
          <w:rFonts w:hint="eastAsia" w:ascii="仿宋_GB2312" w:eastAsia="仿宋_GB2312" w:cs="仿宋_GB2312"/>
          <w:color w:val="auto"/>
          <w:sz w:val="32"/>
          <w:szCs w:val="32"/>
        </w:rPr>
        <w:t>个，共涉及资金</w:t>
      </w:r>
      <w:r>
        <w:rPr>
          <w:rFonts w:hint="eastAsia" w:ascii="仿宋_GB2312" w:eastAsia="仿宋_GB2312" w:cs="仿宋_GB2312"/>
          <w:color w:val="auto"/>
          <w:sz w:val="32"/>
          <w:szCs w:val="32"/>
          <w:lang w:val="en-US" w:eastAsia="zh-CN"/>
        </w:rPr>
        <w:t>578.82</w:t>
      </w:r>
      <w:r>
        <w:rPr>
          <w:rFonts w:hint="eastAsia" w:ascii="仿宋_GB2312" w:eastAsia="仿宋_GB2312" w:cs="仿宋_GB2312"/>
          <w:color w:val="auto"/>
          <w:sz w:val="32"/>
          <w:szCs w:val="32"/>
        </w:rPr>
        <w:t>万元，占一般公共预算项目支出总额的</w:t>
      </w:r>
      <w:r>
        <w:rPr>
          <w:rFonts w:hint="eastAsia" w:ascii="仿宋_GB2312" w:eastAsia="仿宋_GB2312" w:cs="仿宋_GB2312"/>
          <w:color w:val="auto"/>
          <w:sz w:val="32"/>
          <w:szCs w:val="32"/>
          <w:lang w:val="en-US"/>
        </w:rPr>
        <w:t>100%</w:t>
      </w:r>
      <w:r>
        <w:rPr>
          <w:rFonts w:hint="eastAsia" w:ascii="仿宋_GB2312" w:eastAsia="仿宋_GB2312" w:cs="仿宋_GB2312"/>
          <w:color w:val="auto"/>
          <w:sz w:val="32"/>
          <w:szCs w:val="32"/>
        </w:rPr>
        <w:t>；政府性基金预算项目</w:t>
      </w:r>
      <w:r>
        <w:rPr>
          <w:rFonts w:hint="eastAsia" w:ascii="仿宋_GB2312" w:eastAsia="仿宋_GB2312" w:cs="仿宋_GB2312"/>
          <w:color w:val="auto"/>
          <w:sz w:val="32"/>
          <w:szCs w:val="32"/>
          <w:lang w:val="en-US" w:eastAsia="zh-CN"/>
        </w:rPr>
        <w:t>7</w:t>
      </w:r>
      <w:r>
        <w:rPr>
          <w:rFonts w:hint="eastAsia" w:ascii="仿宋_GB2312" w:eastAsia="仿宋_GB2312" w:cs="仿宋_GB2312"/>
          <w:color w:val="auto"/>
          <w:sz w:val="32"/>
          <w:szCs w:val="32"/>
        </w:rPr>
        <w:t>个，共涉及资金</w:t>
      </w:r>
      <w:r>
        <w:rPr>
          <w:rFonts w:hint="eastAsia" w:ascii="仿宋_GB2312" w:eastAsia="仿宋_GB2312" w:cs="仿宋_GB2312"/>
          <w:color w:val="auto"/>
          <w:sz w:val="32"/>
          <w:szCs w:val="32"/>
          <w:lang w:val="en-US" w:eastAsia="zh-CN"/>
        </w:rPr>
        <w:t>2700.75</w:t>
      </w:r>
      <w:r>
        <w:rPr>
          <w:rFonts w:hint="eastAsia" w:ascii="仿宋_GB2312" w:eastAsia="仿宋_GB2312" w:cs="仿宋_GB2312"/>
          <w:color w:val="auto"/>
          <w:sz w:val="32"/>
          <w:szCs w:val="32"/>
        </w:rPr>
        <w:t>万元，占应纳入绩效自评的政府性基金预算项目支出总额的</w:t>
      </w:r>
      <w:r>
        <w:rPr>
          <w:rFonts w:hint="eastAsia" w:ascii="仿宋_GB2312" w:eastAsia="仿宋_GB2312" w:cs="仿宋_GB2312"/>
          <w:color w:val="auto"/>
          <w:sz w:val="32"/>
          <w:szCs w:val="32"/>
          <w:lang w:val="en-US"/>
        </w:rPr>
        <w:t>100%</w:t>
      </w:r>
      <w:r>
        <w:rPr>
          <w:rFonts w:hint="eastAsia" w:ascii="仿宋_GB2312" w:eastAsia="仿宋_GB2312" w:cs="仿宋_GB2312"/>
          <w:color w:val="auto"/>
          <w:sz w:val="32"/>
          <w:szCs w:val="32"/>
        </w:rPr>
        <w:t>；</w:t>
      </w:r>
    </w:p>
    <w:p>
      <w:pPr>
        <w:keepNext w:val="0"/>
        <w:keepLines w:val="0"/>
        <w:widowControl/>
        <w:suppressLineNumbers w:val="0"/>
        <w:autoSpaceDE w:val="0"/>
        <w:autoSpaceDN w:val="0"/>
        <w:spacing w:before="100" w:beforeAutospacing="1" w:after="100" w:afterAutospacing="1" w:line="580" w:lineRule="atLeast"/>
        <w:ind w:left="0" w:right="0" w:firstLine="6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组织对</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老年人意外伤害险</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社会组织等级评估</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社会组织创业示范园运营</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志愿服务规范化管理</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孤残儿童生活费</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个项目开展了部门评价，涉及一般公共预算支出</w:t>
      </w:r>
      <w:r>
        <w:rPr>
          <w:rFonts w:hint="eastAsia" w:ascii="仿宋_GB2312" w:hAnsi="仿宋_GB2312" w:eastAsia="仿宋_GB2312" w:cs="仿宋_GB2312"/>
          <w:color w:val="auto"/>
          <w:sz w:val="32"/>
          <w:szCs w:val="32"/>
          <w:lang w:val="en-US" w:eastAsia="zh-CN"/>
        </w:rPr>
        <w:t>425</w:t>
      </w:r>
      <w:r>
        <w:rPr>
          <w:rFonts w:hint="eastAsia" w:ascii="仿宋_GB2312" w:hAnsi="仿宋_GB2312" w:eastAsia="仿宋_GB2312" w:cs="仿宋_GB2312"/>
          <w:color w:val="auto"/>
          <w:sz w:val="32"/>
          <w:szCs w:val="32"/>
        </w:rPr>
        <w:t>万元，政府性基金支出</w:t>
      </w:r>
      <w:r>
        <w:rPr>
          <w:rFonts w:hint="eastAsia" w:ascii="仿宋_GB2312" w:hAnsi="仿宋_GB2312" w:eastAsia="仿宋_GB2312" w:cs="仿宋_GB2312"/>
          <w:color w:val="auto"/>
          <w:sz w:val="32"/>
          <w:szCs w:val="32"/>
          <w:lang w:val="en-US" w:eastAsia="zh-CN"/>
        </w:rPr>
        <w:t>739.47</w:t>
      </w:r>
      <w:r>
        <w:rPr>
          <w:rFonts w:hint="eastAsia" w:ascii="仿宋_GB2312" w:hAnsi="仿宋_GB2312" w:eastAsia="仿宋_GB2312" w:cs="仿宋_GB2312"/>
          <w:color w:val="auto"/>
          <w:sz w:val="32"/>
          <w:szCs w:val="32"/>
        </w:rPr>
        <w:t>万元。</w:t>
      </w:r>
    </w:p>
    <w:p>
      <w:pPr>
        <w:keepNext w:val="0"/>
        <w:keepLines w:val="0"/>
        <w:widowControl/>
        <w:suppressLineNumbers w:val="0"/>
        <w:autoSpaceDE w:val="0"/>
        <w:autoSpaceDN w:val="0"/>
        <w:spacing w:before="100" w:beforeAutospacing="1" w:after="100" w:afterAutospacing="1" w:line="580" w:lineRule="atLeast"/>
        <w:ind w:left="0" w:right="0" w:firstLine="600"/>
        <w:rPr>
          <w:color w:val="auto"/>
        </w:rPr>
      </w:pPr>
      <w:r>
        <w:rPr>
          <w:rFonts w:hint="eastAsia" w:ascii="仿宋_GB2312" w:eastAsia="仿宋_GB2312" w:cs="仿宋_GB2312"/>
          <w:color w:val="auto"/>
          <w:sz w:val="32"/>
          <w:szCs w:val="32"/>
        </w:rPr>
        <w:t>（二）部门决算中项目绩效自评结果</w:t>
      </w:r>
    </w:p>
    <w:p>
      <w:pPr>
        <w:keepNext w:val="0"/>
        <w:keepLines w:val="0"/>
        <w:widowControl/>
        <w:suppressLineNumbers w:val="0"/>
        <w:autoSpaceDE w:val="0"/>
        <w:autoSpaceDN w:val="0"/>
        <w:spacing w:before="100" w:beforeAutospacing="1" w:after="100" w:afterAutospacing="1" w:line="580" w:lineRule="atLeast"/>
        <w:ind w:left="0" w:right="0" w:firstLine="600"/>
        <w:rPr>
          <w:rFonts w:hint="eastAsia" w:ascii="仿宋_GB2312" w:eastAsia="仿宋_GB2312" w:cs="仿宋_GB2312"/>
          <w:color w:val="auto"/>
          <w:sz w:val="32"/>
          <w:szCs w:val="32"/>
        </w:rPr>
      </w:pPr>
      <w:r>
        <w:rPr>
          <w:rFonts w:hint="eastAsia" w:ascii="仿宋_GB2312" w:eastAsia="仿宋_GB2312" w:cs="仿宋_GB2312"/>
          <w:color w:val="auto"/>
          <w:sz w:val="32"/>
          <w:szCs w:val="32"/>
        </w:rPr>
        <w:t>我</w:t>
      </w:r>
      <w:r>
        <w:rPr>
          <w:rFonts w:hint="eastAsia" w:ascii="仿宋_GB2312" w:eastAsia="仿宋_GB2312" w:cs="仿宋_GB2312"/>
          <w:color w:val="auto"/>
          <w:sz w:val="32"/>
          <w:szCs w:val="32"/>
          <w:lang w:val="en-US" w:eastAsia="zh-CN"/>
        </w:rPr>
        <w:t>单位</w:t>
      </w:r>
      <w:r>
        <w:rPr>
          <w:rFonts w:hint="eastAsia" w:ascii="仿宋_GB2312" w:eastAsia="仿宋_GB2312" w:cs="仿宋_GB2312"/>
          <w:color w:val="auto"/>
          <w:sz w:val="32"/>
          <w:szCs w:val="32"/>
        </w:rPr>
        <w:t>今年在在</w:t>
      </w:r>
      <w:r>
        <w:rPr>
          <w:rFonts w:hint="eastAsia" w:ascii="仿宋_GB2312" w:eastAsia="仿宋_GB2312" w:cs="仿宋_GB2312"/>
          <w:color w:val="auto"/>
          <w:sz w:val="32"/>
          <w:szCs w:val="32"/>
          <w:lang w:val="en-US" w:eastAsia="zh-CN"/>
        </w:rPr>
        <w:t>单位</w:t>
      </w:r>
      <w:r>
        <w:rPr>
          <w:rFonts w:hint="eastAsia" w:ascii="仿宋_GB2312" w:eastAsia="仿宋_GB2312" w:cs="仿宋_GB2312"/>
          <w:color w:val="auto"/>
          <w:sz w:val="32"/>
          <w:szCs w:val="32"/>
        </w:rPr>
        <w:t>决算中反映</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孤残儿童生活费</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w:t>
      </w:r>
      <w:r>
        <w:rPr>
          <w:rFonts w:hint="eastAsia" w:ascii="仿宋_GB2312" w:eastAsia="仿宋_GB2312" w:cs="仿宋_GB2312"/>
          <w:color w:val="auto"/>
          <w:sz w:val="32"/>
          <w:szCs w:val="32"/>
        </w:rPr>
        <w:t>等</w:t>
      </w:r>
      <w:r>
        <w:rPr>
          <w:rFonts w:hint="eastAsia" w:ascii="仿宋_GB2312" w:eastAsia="仿宋_GB2312" w:cs="仿宋_GB2312"/>
          <w:color w:val="auto"/>
          <w:sz w:val="32"/>
          <w:szCs w:val="32"/>
          <w:lang w:val="en-US" w:eastAsia="zh-CN"/>
        </w:rPr>
        <w:t>1</w:t>
      </w:r>
      <w:r>
        <w:rPr>
          <w:rFonts w:hint="eastAsia" w:ascii="仿宋_GB2312" w:eastAsia="仿宋_GB2312" w:cs="仿宋_GB2312"/>
          <w:color w:val="auto"/>
          <w:sz w:val="32"/>
          <w:szCs w:val="32"/>
        </w:rPr>
        <w:t>个一般公共预算项目，以及</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老年人意外伤害险</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社会组织等级评估</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社会组织创业示范园运营</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lang w:val="en-US" w:eastAsia="zh-CN"/>
        </w:rPr>
        <w:t>志愿服务规范化管理</w:t>
      </w:r>
      <w:r>
        <w:rPr>
          <w:rFonts w:hint="eastAsia" w:ascii="仿宋_GB2312" w:hAnsi="仿宋_GB2312" w:eastAsia="仿宋_GB2312" w:cs="仿宋_GB2312"/>
          <w:color w:val="auto"/>
          <w:sz w:val="32"/>
          <w:szCs w:val="32"/>
        </w:rPr>
        <w:t xml:space="preserve">项目 </w:t>
      </w:r>
      <w:r>
        <w:rPr>
          <w:rFonts w:hint="eastAsia" w:ascii="仿宋_GB2312" w:hAnsi="仿宋_GB2312" w:eastAsia="仿宋_GB2312" w:cs="仿宋_GB2312"/>
          <w:color w:val="auto"/>
          <w:sz w:val="32"/>
          <w:szCs w:val="32"/>
          <w:lang w:val="en-US"/>
        </w:rPr>
        <w:t>”</w:t>
      </w:r>
      <w:r>
        <w:rPr>
          <w:rFonts w:hint="eastAsia" w:ascii="仿宋_GB2312" w:eastAsia="仿宋_GB2312" w:cs="仿宋_GB2312"/>
          <w:color w:val="auto"/>
          <w:sz w:val="32"/>
          <w:szCs w:val="32"/>
        </w:rPr>
        <w:t>等</w:t>
      </w:r>
      <w:r>
        <w:rPr>
          <w:rFonts w:hint="eastAsia" w:ascii="仿宋_GB2312" w:eastAsia="仿宋_GB2312" w:cs="仿宋_GB2312"/>
          <w:color w:val="auto"/>
          <w:sz w:val="32"/>
          <w:szCs w:val="32"/>
          <w:lang w:val="en-US" w:eastAsia="zh-CN"/>
        </w:rPr>
        <w:t>4</w:t>
      </w:r>
      <w:r>
        <w:rPr>
          <w:rFonts w:hint="eastAsia" w:ascii="仿宋_GB2312" w:eastAsia="仿宋_GB2312" w:cs="仿宋_GB2312"/>
          <w:color w:val="auto"/>
          <w:sz w:val="32"/>
          <w:szCs w:val="32"/>
        </w:rPr>
        <w:t>个政府性基金项目，共</w:t>
      </w:r>
      <w:r>
        <w:rPr>
          <w:rFonts w:hint="eastAsia" w:ascii="仿宋_GB2312" w:eastAsia="仿宋_GB2312" w:cs="仿宋_GB2312"/>
          <w:color w:val="auto"/>
          <w:sz w:val="32"/>
          <w:szCs w:val="32"/>
          <w:lang w:val="en-US" w:eastAsia="zh-CN"/>
        </w:rPr>
        <w:t>5</w:t>
      </w:r>
      <w:r>
        <w:rPr>
          <w:rFonts w:hint="eastAsia" w:ascii="仿宋_GB2312" w:eastAsia="仿宋_GB2312" w:cs="仿宋_GB2312"/>
          <w:color w:val="auto"/>
          <w:sz w:val="32"/>
          <w:szCs w:val="32"/>
        </w:rPr>
        <w:t>个项目的绩效自评结果。</w:t>
      </w:r>
    </w:p>
    <w:p>
      <w:pPr>
        <w:numPr>
          <w:ilvl w:val="0"/>
          <w:numId w:val="0"/>
        </w:numPr>
        <w:autoSpaceDE w:val="0"/>
        <w:autoSpaceDN w:val="0"/>
        <w:adjustRightInd w:val="0"/>
        <w:spacing w:beforeLines="0" w:afterLines="0" w:line="578" w:lineRule="exact"/>
        <w:ind w:firstLine="640" w:firstLineChars="200"/>
        <w:rPr>
          <w:rFonts w:hint="eastAsia" w:asci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1.社会组织等级评估</w:t>
      </w:r>
      <w:r>
        <w:rPr>
          <w:rFonts w:hint="eastAsia" w:ascii="仿宋_GB2312" w:eastAsia="仿宋_GB2312" w:cs="仿宋_GB2312"/>
          <w:color w:val="auto"/>
          <w:sz w:val="32"/>
          <w:szCs w:val="32"/>
        </w:rPr>
        <w:t>项目自评综述：根据年初设定的绩效目标，项目自评得分</w:t>
      </w:r>
      <w:r>
        <w:rPr>
          <w:rFonts w:hint="eastAsia" w:ascii="仿宋_GB2312" w:eastAsia="仿宋_GB2312" w:cs="仿宋_GB2312"/>
          <w:color w:val="auto"/>
          <w:sz w:val="32"/>
          <w:szCs w:val="32"/>
          <w:lang w:val="en-US" w:eastAsia="zh-CN"/>
        </w:rPr>
        <w:t>98</w:t>
      </w:r>
      <w:r>
        <w:rPr>
          <w:rFonts w:hint="eastAsia" w:ascii="仿宋_GB2312" w:eastAsia="仿宋_GB2312" w:cs="仿宋_GB2312"/>
          <w:color w:val="auto"/>
          <w:sz w:val="32"/>
          <w:szCs w:val="32"/>
        </w:rPr>
        <w:t>分。全年预算数为</w:t>
      </w:r>
      <w:r>
        <w:rPr>
          <w:rFonts w:hint="eastAsia" w:ascii="仿宋_GB2312" w:eastAsia="仿宋_GB2312" w:cs="仿宋_GB2312"/>
          <w:color w:val="auto"/>
          <w:sz w:val="32"/>
          <w:szCs w:val="32"/>
          <w:lang w:val="en-US" w:eastAsia="zh-CN"/>
        </w:rPr>
        <w:t>20</w:t>
      </w:r>
      <w:r>
        <w:rPr>
          <w:rFonts w:hint="eastAsia" w:ascii="仿宋_GB2312" w:eastAsia="仿宋_GB2312" w:cs="仿宋_GB2312"/>
          <w:color w:val="auto"/>
          <w:sz w:val="32"/>
          <w:szCs w:val="32"/>
        </w:rPr>
        <w:t>万元，执行数为</w:t>
      </w:r>
      <w:r>
        <w:rPr>
          <w:rFonts w:hint="eastAsia" w:ascii="仿宋_GB2312" w:eastAsia="仿宋_GB2312" w:cs="仿宋_GB2312"/>
          <w:color w:val="auto"/>
          <w:sz w:val="32"/>
          <w:szCs w:val="32"/>
          <w:lang w:val="en-US" w:eastAsia="zh-CN"/>
        </w:rPr>
        <w:t>20</w:t>
      </w:r>
      <w:r>
        <w:rPr>
          <w:rFonts w:hint="eastAsia" w:ascii="仿宋_GB2312" w:eastAsia="仿宋_GB2312" w:cs="仿宋_GB2312"/>
          <w:color w:val="auto"/>
          <w:sz w:val="32"/>
          <w:szCs w:val="32"/>
        </w:rPr>
        <w:t>万元，完成预算的</w:t>
      </w:r>
      <w:r>
        <w:rPr>
          <w:rFonts w:hint="eastAsia" w:ascii="仿宋_GB2312" w:eastAsia="仿宋_GB2312" w:cs="仿宋_GB2312"/>
          <w:color w:val="auto"/>
          <w:sz w:val="32"/>
          <w:szCs w:val="32"/>
          <w:lang w:val="en-US" w:eastAsia="zh-CN"/>
        </w:rPr>
        <w:t>100</w:t>
      </w:r>
      <w:r>
        <w:rPr>
          <w:rFonts w:hint="eastAsia" w:ascii="仿宋_GB2312" w:eastAsia="仿宋_GB2312" w:cs="仿宋_GB2312"/>
          <w:color w:val="auto"/>
          <w:sz w:val="32"/>
          <w:szCs w:val="32"/>
          <w:lang w:val="en-US"/>
        </w:rPr>
        <w:t>%</w:t>
      </w:r>
      <w:r>
        <w:rPr>
          <w:rFonts w:hint="eastAsia" w:ascii="仿宋_GB2312" w:eastAsia="仿宋_GB2312" w:cs="仿宋_GB2312"/>
          <w:color w:val="auto"/>
          <w:sz w:val="32"/>
          <w:szCs w:val="32"/>
        </w:rPr>
        <w:t>。项目绩效目标完成情况：</w:t>
      </w:r>
      <w:r>
        <w:rPr>
          <w:rFonts w:hint="eastAsia" w:ascii="仿宋_GB2312" w:eastAsia="仿宋_GB2312" w:cs="仿宋_GB2312"/>
          <w:color w:val="auto"/>
          <w:sz w:val="32"/>
          <w:szCs w:val="32"/>
          <w:lang w:eastAsia="zh-CN"/>
        </w:rPr>
        <w:t>民政部门确认社会组织评估等级，并向获得3A以上评估等级的社会组织颁发牌匾和证书</w:t>
      </w:r>
      <w:r>
        <w:rPr>
          <w:rFonts w:hint="eastAsia" w:ascii="仿宋_GB2312" w:eastAsia="仿宋_GB2312" w:cs="仿宋_GB2312"/>
          <w:color w:val="auto"/>
          <w:sz w:val="32"/>
          <w:szCs w:val="32"/>
          <w:lang w:val="en-US" w:eastAsia="zh-CN"/>
        </w:rPr>
        <w:t>。</w:t>
      </w:r>
      <w:r>
        <w:rPr>
          <w:rFonts w:hint="eastAsia" w:ascii="仿宋_GB2312" w:eastAsia="仿宋_GB2312" w:cs="仿宋_GB2312"/>
          <w:color w:val="auto"/>
          <w:sz w:val="32"/>
          <w:szCs w:val="32"/>
        </w:rPr>
        <w:t>发现的主要问题及原因：</w:t>
      </w:r>
      <w:r>
        <w:rPr>
          <w:rFonts w:hint="eastAsia" w:ascii="仿宋_GB2312" w:eastAsia="仿宋_GB2312" w:cs="仿宋_GB2312"/>
          <w:color w:val="auto"/>
          <w:sz w:val="32"/>
          <w:szCs w:val="32"/>
          <w:lang w:val="en-US" w:eastAsia="zh-CN"/>
        </w:rPr>
        <w:t>项目社会效益较为显著，但仍有提升空间</w:t>
      </w:r>
      <w:r>
        <w:rPr>
          <w:rFonts w:hint="eastAsia" w:ascii="仿宋_GB2312" w:eastAsia="仿宋_GB2312" w:cs="仿宋_GB2312"/>
          <w:color w:val="auto"/>
          <w:sz w:val="32"/>
          <w:szCs w:val="32"/>
        </w:rPr>
        <w:t>。下一步改进措施：</w:t>
      </w:r>
      <w:r>
        <w:rPr>
          <w:rFonts w:hint="eastAsia" w:ascii="仿宋_GB2312" w:eastAsia="仿宋_GB2312" w:cs="仿宋_GB2312"/>
          <w:color w:val="auto"/>
          <w:sz w:val="32"/>
          <w:szCs w:val="32"/>
          <w:lang w:val="en-US" w:eastAsia="zh-CN"/>
        </w:rPr>
        <w:t>扩大社会宣传面和社会影响力</w:t>
      </w:r>
      <w:r>
        <w:rPr>
          <w:rFonts w:hint="eastAsia" w:ascii="仿宋_GB2312" w:eastAsia="仿宋_GB2312" w:cs="仿宋_GB2312"/>
          <w:color w:val="auto"/>
          <w:sz w:val="32"/>
          <w:szCs w:val="32"/>
        </w:rPr>
        <w:t>。</w:t>
      </w:r>
    </w:p>
    <w:p>
      <w:pPr>
        <w:numPr>
          <w:ilvl w:val="0"/>
          <w:numId w:val="0"/>
        </w:numPr>
        <w:autoSpaceDE w:val="0"/>
        <w:autoSpaceDN w:val="0"/>
        <w:adjustRightInd w:val="0"/>
        <w:spacing w:beforeLines="0" w:afterLines="0" w:line="578" w:lineRule="exact"/>
        <w:rPr>
          <w:rFonts w:hint="eastAsia" w:ascii="仿宋_GB2312" w:hAnsi="Times New Roman" w:eastAsia="仿宋_GB2312" w:cs="仿宋_GB2312"/>
          <w:color w:val="auto"/>
          <w:sz w:val="32"/>
          <w:szCs w:val="32"/>
        </w:rPr>
      </w:pPr>
      <w:r>
        <w:rPr>
          <w:rFonts w:hint="eastAsia" w:ascii="仿宋_GB2312" w:hAnsi="Times New Roman" w:eastAsia="仿宋_GB2312" w:cs="仿宋_GB2312"/>
          <w:color w:val="auto"/>
          <w:sz w:val="32"/>
          <w:szCs w:val="32"/>
        </w:rPr>
        <w:t xml:space="preserve"> </w:t>
      </w:r>
      <w:r>
        <w:rPr>
          <w:rFonts w:hint="eastAsia" w:ascii="仿宋_GB2312" w:hAnsi="Times New Roman" w:eastAsia="仿宋_GB2312" w:cs="仿宋_GB2312"/>
          <w:color w:val="auto"/>
          <w:sz w:val="32"/>
          <w:szCs w:val="32"/>
          <w:lang w:val="en-US" w:eastAsia="zh-CN"/>
        </w:rPr>
        <w:t xml:space="preserve">  2</w:t>
      </w:r>
      <w:r>
        <w:rPr>
          <w:rFonts w:hint="eastAsia" w:ascii="仿宋_GB2312" w:hAnsi="Times New Roman"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老年人意外伤害险</w:t>
      </w:r>
      <w:r>
        <w:rPr>
          <w:rFonts w:hint="eastAsia" w:ascii="仿宋_GB2312" w:hAnsi="仿宋_GB2312" w:eastAsia="仿宋_GB2312" w:cs="仿宋_GB2312"/>
          <w:color w:val="auto"/>
          <w:sz w:val="32"/>
          <w:szCs w:val="32"/>
        </w:rPr>
        <w:t>项目</w:t>
      </w:r>
      <w:r>
        <w:rPr>
          <w:rFonts w:hint="eastAsia" w:ascii="仿宋_GB2312" w:hAnsi="Times New Roman" w:eastAsia="仿宋_GB2312" w:cs="仿宋_GB2312"/>
          <w:color w:val="auto"/>
          <w:sz w:val="32"/>
          <w:szCs w:val="32"/>
        </w:rPr>
        <w:t>自评综述：根据年初设定的绩效目标，项目自评得分98分。全年预算数为</w:t>
      </w:r>
      <w:r>
        <w:rPr>
          <w:rFonts w:hint="eastAsia" w:ascii="仿宋_GB2312" w:hAnsi="Times New Roman" w:eastAsia="仿宋_GB2312" w:cs="仿宋_GB2312"/>
          <w:color w:val="auto"/>
          <w:sz w:val="32"/>
          <w:szCs w:val="32"/>
          <w:lang w:val="en-US" w:eastAsia="zh-CN"/>
        </w:rPr>
        <w:t>698.47</w:t>
      </w:r>
      <w:r>
        <w:rPr>
          <w:rFonts w:hint="eastAsia" w:ascii="仿宋_GB2312" w:hAnsi="Times New Roman" w:eastAsia="仿宋_GB2312" w:cs="仿宋_GB2312"/>
          <w:color w:val="auto"/>
          <w:sz w:val="32"/>
          <w:szCs w:val="32"/>
        </w:rPr>
        <w:t>万元，执行数为</w:t>
      </w:r>
      <w:r>
        <w:rPr>
          <w:rFonts w:hint="eastAsia" w:ascii="仿宋_GB2312" w:hAnsi="Times New Roman" w:eastAsia="仿宋_GB2312" w:cs="仿宋_GB2312"/>
          <w:color w:val="auto"/>
          <w:sz w:val="32"/>
          <w:szCs w:val="32"/>
          <w:lang w:val="en-US" w:eastAsia="zh-CN"/>
        </w:rPr>
        <w:t>698.47</w:t>
      </w:r>
      <w:r>
        <w:rPr>
          <w:rFonts w:hint="eastAsia" w:ascii="仿宋_GB2312" w:hAnsi="Times New Roman" w:eastAsia="仿宋_GB2312" w:cs="仿宋_GB2312"/>
          <w:color w:val="auto"/>
          <w:sz w:val="32"/>
          <w:szCs w:val="32"/>
        </w:rPr>
        <w:t>万元，完成预算的100%。项目绩效目标完成情况：进一步完善政府引导、市场运作、体现公益、投保自愿相结合的老年人意外伤害保险制度，积极探索政府补贴、社会赞助和个人出资购买等多种形式的意外伤害保险参保机制。发现的主要问题及原因：购买老年人意外伤害险方面的制度欠缺，不够完善。下一步改进措施：健全完善相关制度。</w:t>
      </w:r>
    </w:p>
    <w:p>
      <w:pPr>
        <w:keepNext w:val="0"/>
        <w:keepLines w:val="0"/>
        <w:widowControl/>
        <w:suppressLineNumbers w:val="0"/>
        <w:autoSpaceDE w:val="0"/>
        <w:autoSpaceDN w:val="0"/>
        <w:spacing w:before="100" w:beforeAutospacing="1" w:after="100" w:afterAutospacing="1" w:line="580" w:lineRule="atLeast"/>
        <w:ind w:left="0" w:right="0" w:firstLine="600"/>
        <w:rPr>
          <w:color w:val="auto"/>
        </w:rPr>
      </w:pPr>
      <w:r>
        <w:rPr>
          <w:rFonts w:hint="eastAsia" w:ascii="仿宋_GB2312" w:hAnsi="Times New Roman" w:eastAsia="仿宋_GB2312" w:cs="仿宋_GB2312"/>
          <w:color w:val="auto"/>
          <w:sz w:val="32"/>
          <w:szCs w:val="32"/>
          <w:lang w:val="en-US" w:eastAsia="zh-CN"/>
        </w:rPr>
        <w:t xml:space="preserve"> 3</w:t>
      </w:r>
      <w:r>
        <w:rPr>
          <w:rFonts w:hint="eastAsia" w:ascii="仿宋_GB2312" w:hAnsi="Times New Roman"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社会组织创业示范园运营</w:t>
      </w:r>
      <w:r>
        <w:rPr>
          <w:rFonts w:hint="eastAsia" w:ascii="仿宋_GB2312" w:hAnsi="仿宋_GB2312" w:eastAsia="仿宋_GB2312" w:cs="仿宋_GB2312"/>
          <w:color w:val="auto"/>
          <w:sz w:val="32"/>
          <w:szCs w:val="32"/>
        </w:rPr>
        <w:t>项目</w:t>
      </w:r>
      <w:r>
        <w:rPr>
          <w:rFonts w:hint="eastAsia" w:ascii="仿宋_GB2312" w:hAnsi="Times New Roman" w:eastAsia="仿宋_GB2312" w:cs="仿宋_GB2312"/>
          <w:color w:val="auto"/>
          <w:sz w:val="32"/>
          <w:szCs w:val="32"/>
        </w:rPr>
        <w:t>自评综述：根据年初设定的绩效目标，项目自评得分98分。全年预算数为</w:t>
      </w:r>
      <w:r>
        <w:rPr>
          <w:rFonts w:hint="eastAsia" w:ascii="仿宋_GB2312" w:hAnsi="Times New Roman" w:eastAsia="仿宋_GB2312" w:cs="仿宋_GB2312"/>
          <w:color w:val="auto"/>
          <w:sz w:val="32"/>
          <w:szCs w:val="32"/>
          <w:lang w:val="en-US" w:eastAsia="zh-CN"/>
        </w:rPr>
        <w:t>10</w:t>
      </w:r>
      <w:r>
        <w:rPr>
          <w:rFonts w:hint="eastAsia" w:ascii="仿宋_GB2312" w:hAnsi="Times New Roman" w:eastAsia="仿宋_GB2312" w:cs="仿宋_GB2312"/>
          <w:color w:val="auto"/>
          <w:sz w:val="32"/>
          <w:szCs w:val="32"/>
        </w:rPr>
        <w:t>万元，执行数为</w:t>
      </w:r>
      <w:r>
        <w:rPr>
          <w:rFonts w:hint="eastAsia" w:ascii="仿宋_GB2312" w:hAnsi="Times New Roman" w:eastAsia="仿宋_GB2312" w:cs="仿宋_GB2312"/>
          <w:color w:val="auto"/>
          <w:sz w:val="32"/>
          <w:szCs w:val="32"/>
          <w:lang w:val="en-US" w:eastAsia="zh-CN"/>
        </w:rPr>
        <w:t>10</w:t>
      </w:r>
      <w:r>
        <w:rPr>
          <w:rFonts w:hint="eastAsia" w:ascii="仿宋_GB2312" w:hAnsi="Times New Roman" w:eastAsia="仿宋_GB2312" w:cs="仿宋_GB2312"/>
          <w:color w:val="auto"/>
          <w:sz w:val="32"/>
          <w:szCs w:val="32"/>
        </w:rPr>
        <w:t>万元，完成预算的100%。项目绩效目标完成情况：</w:t>
      </w:r>
      <w:r>
        <w:rPr>
          <w:rFonts w:hint="eastAsia" w:ascii="仿宋_GB2312" w:hAnsi="Times New Roman" w:eastAsia="仿宋_GB2312" w:cs="仿宋_GB2312"/>
          <w:color w:val="auto"/>
          <w:sz w:val="32"/>
          <w:szCs w:val="32"/>
          <w:lang w:val="en-US" w:eastAsia="zh-CN"/>
        </w:rPr>
        <w:t>吸纳不同业态的具有示范带头引领作用的成熟型社会组织，为其对接社会各界资源，提升其综合服务能力，发挥其专业服务作用，引领各领域社会组织创业创新，健康有序发展，</w:t>
      </w:r>
      <w:r>
        <w:rPr>
          <w:rFonts w:hint="eastAsia" w:ascii="仿宋_GB2312" w:hAnsi="Times New Roman" w:eastAsia="仿宋_GB2312" w:cs="仿宋_GB2312"/>
          <w:color w:val="auto"/>
          <w:sz w:val="32"/>
          <w:szCs w:val="32"/>
        </w:rPr>
        <w:t>发现的主要问题及原因：</w:t>
      </w:r>
      <w:r>
        <w:rPr>
          <w:rFonts w:hint="eastAsia" w:ascii="仿宋_GB2312" w:hAnsi="Times New Roman" w:eastAsia="仿宋_GB2312" w:cs="仿宋_GB2312"/>
          <w:color w:val="auto"/>
          <w:sz w:val="32"/>
          <w:szCs w:val="32"/>
          <w:lang w:val="en-US" w:eastAsia="zh-CN"/>
        </w:rPr>
        <w:t>项目社会效益较为显著，但仍有提升空间。</w:t>
      </w:r>
      <w:r>
        <w:rPr>
          <w:rFonts w:hint="eastAsia" w:ascii="仿宋_GB2312" w:hAnsi="Times New Roman" w:eastAsia="仿宋_GB2312" w:cs="仿宋_GB2312"/>
          <w:color w:val="auto"/>
          <w:sz w:val="32"/>
          <w:szCs w:val="32"/>
        </w:rPr>
        <w:t>下一步改进措施：</w:t>
      </w:r>
      <w:r>
        <w:rPr>
          <w:rFonts w:hint="eastAsia" w:ascii="仿宋_GB2312" w:hAnsi="Times New Roman" w:eastAsia="仿宋_GB2312" w:cs="仿宋_GB2312"/>
          <w:color w:val="auto"/>
          <w:sz w:val="32"/>
          <w:szCs w:val="32"/>
          <w:lang w:val="en-US" w:eastAsia="zh-CN"/>
        </w:rPr>
        <w:t>扩大社会宣传面和社会影响力。</w:t>
      </w:r>
    </w:p>
    <w:p>
      <w:pPr>
        <w:autoSpaceDE w:val="0"/>
        <w:autoSpaceDN w:val="0"/>
        <w:adjustRightInd w:val="0"/>
        <w:spacing w:beforeLines="0" w:afterLines="0" w:line="578" w:lineRule="exact"/>
        <w:ind w:firstLine="640" w:firstLineChars="200"/>
        <w:rPr>
          <w:rFonts w:hint="eastAsia" w:ascii="仿宋_GB2312" w:hAnsi="Times New Roman" w:eastAsia="仿宋_GB2312" w:cs="仿宋_GB2312"/>
          <w:color w:val="auto"/>
          <w:sz w:val="32"/>
          <w:szCs w:val="32"/>
        </w:rPr>
      </w:pPr>
      <w:r>
        <w:rPr>
          <w:rFonts w:hint="eastAsia" w:ascii="仿宋_GB2312" w:eastAsia="仿宋_GB2312" w:cs="仿宋_GB2312"/>
          <w:color w:val="auto"/>
          <w:sz w:val="32"/>
          <w:szCs w:val="32"/>
          <w:lang w:val="en-US" w:eastAsia="zh-CN"/>
        </w:rPr>
        <w:t>4</w:t>
      </w:r>
      <w:r>
        <w:rPr>
          <w:rFonts w:hint="eastAsia" w:asci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孤残儿童生活费</w:t>
      </w:r>
      <w:r>
        <w:rPr>
          <w:rFonts w:hint="eastAsia" w:ascii="仿宋_GB2312" w:hAnsi="仿宋_GB2312" w:eastAsia="仿宋_GB2312" w:cs="仿宋_GB2312"/>
          <w:color w:val="auto"/>
          <w:sz w:val="32"/>
          <w:szCs w:val="32"/>
        </w:rPr>
        <w:t>项目</w:t>
      </w:r>
      <w:r>
        <w:rPr>
          <w:rFonts w:hint="eastAsia" w:ascii="仿宋_GB2312" w:eastAsia="仿宋_GB2312" w:cs="仿宋_GB2312"/>
          <w:color w:val="auto"/>
          <w:sz w:val="32"/>
          <w:szCs w:val="32"/>
        </w:rPr>
        <w:t>项目自评综述：</w:t>
      </w:r>
      <w:r>
        <w:rPr>
          <w:rFonts w:hint="eastAsia" w:ascii="仿宋_GB2312" w:hAnsi="Times New Roman" w:eastAsia="仿宋_GB2312" w:cs="仿宋_GB2312"/>
          <w:color w:val="auto"/>
          <w:sz w:val="32"/>
          <w:szCs w:val="32"/>
        </w:rPr>
        <w:t>根据年初设定的绩效目标，项目自评得分</w:t>
      </w:r>
      <w:r>
        <w:rPr>
          <w:rFonts w:hint="eastAsia" w:ascii="仿宋_GB2312" w:hAnsi="Times New Roman" w:eastAsia="仿宋_GB2312" w:cs="仿宋_GB2312"/>
          <w:color w:val="auto"/>
          <w:sz w:val="32"/>
          <w:szCs w:val="32"/>
          <w:lang w:val="en-US" w:eastAsia="zh-CN"/>
        </w:rPr>
        <w:t>100</w:t>
      </w:r>
      <w:r>
        <w:rPr>
          <w:rFonts w:hint="eastAsia" w:ascii="仿宋_GB2312" w:hAnsi="Times New Roman" w:eastAsia="仿宋_GB2312" w:cs="仿宋_GB2312"/>
          <w:color w:val="auto"/>
          <w:sz w:val="32"/>
          <w:szCs w:val="32"/>
        </w:rPr>
        <w:t>分。全年预算数为</w:t>
      </w:r>
      <w:r>
        <w:rPr>
          <w:rFonts w:hint="eastAsia" w:ascii="仿宋_GB2312" w:hAnsi="Times New Roman" w:eastAsia="仿宋_GB2312" w:cs="仿宋_GB2312"/>
          <w:color w:val="auto"/>
          <w:sz w:val="32"/>
          <w:szCs w:val="32"/>
          <w:lang w:val="en-US" w:eastAsia="zh-CN"/>
        </w:rPr>
        <w:t>425</w:t>
      </w:r>
      <w:r>
        <w:rPr>
          <w:rFonts w:hint="eastAsia" w:ascii="仿宋_GB2312" w:hAnsi="Times New Roman" w:eastAsia="仿宋_GB2312" w:cs="仿宋_GB2312"/>
          <w:color w:val="auto"/>
          <w:sz w:val="32"/>
          <w:szCs w:val="32"/>
        </w:rPr>
        <w:t>万元，执行数为</w:t>
      </w:r>
      <w:r>
        <w:rPr>
          <w:rFonts w:hint="eastAsia" w:ascii="仿宋_GB2312" w:hAnsi="Times New Roman" w:eastAsia="仿宋_GB2312" w:cs="仿宋_GB2312"/>
          <w:color w:val="auto"/>
          <w:sz w:val="32"/>
          <w:szCs w:val="32"/>
          <w:lang w:val="en-US" w:eastAsia="zh-CN"/>
        </w:rPr>
        <w:t>425</w:t>
      </w:r>
      <w:r>
        <w:rPr>
          <w:rFonts w:hint="eastAsia" w:ascii="仿宋_GB2312" w:hAnsi="Times New Roman" w:eastAsia="仿宋_GB2312" w:cs="仿宋_GB2312"/>
          <w:color w:val="auto"/>
          <w:sz w:val="32"/>
          <w:szCs w:val="32"/>
        </w:rPr>
        <w:t>万元，完成预算的100%。项目绩效目标完成情况：通过为特困人员采购蔬菜副食、纸尿裤、奶粉等食品及日常生活用品均按预期完成，极大地保障了特困人员的衣食住行，为他们提供生活照料、康复护理、健康指导等服务，保障了特困人员的基本生活及权益。发现的主要问题及原因：</w:t>
      </w:r>
      <w:r>
        <w:rPr>
          <w:rFonts w:hint="eastAsia" w:ascii="仿宋_GB2312" w:hAnsi="Times New Roman" w:eastAsia="仿宋_GB2312" w:cs="仿宋_GB2312"/>
          <w:color w:val="auto"/>
          <w:sz w:val="32"/>
          <w:szCs w:val="32"/>
          <w:lang w:val="en-US" w:eastAsia="zh-CN"/>
        </w:rPr>
        <w:t>特困人员</w:t>
      </w:r>
      <w:r>
        <w:rPr>
          <w:rFonts w:hint="eastAsia" w:ascii="仿宋_GB2312" w:hAnsi="Times New Roman" w:eastAsia="仿宋_GB2312" w:cs="仿宋_GB2312"/>
          <w:color w:val="auto"/>
          <w:sz w:val="32"/>
          <w:szCs w:val="32"/>
        </w:rPr>
        <w:t>管理抚养方面的制度欠缺，不够完善。下一步改进措施：健全完善相关制度。</w:t>
      </w:r>
    </w:p>
    <w:p>
      <w:pPr>
        <w:keepNext w:val="0"/>
        <w:keepLines w:val="0"/>
        <w:widowControl/>
        <w:suppressLineNumbers w:val="0"/>
        <w:autoSpaceDE w:val="0"/>
        <w:autoSpaceDN w:val="0"/>
        <w:spacing w:before="100" w:beforeAutospacing="1" w:after="100" w:afterAutospacing="1" w:line="580" w:lineRule="atLeast"/>
        <w:ind w:left="0" w:right="0" w:firstLine="600"/>
        <w:rPr>
          <w:rFonts w:hint="default" w:ascii="Times New Roman" w:hAnsi="Times New Roman" w:cs="Times New Roman"/>
          <w:color w:val="auto"/>
          <w:sz w:val="32"/>
          <w:szCs w:val="32"/>
          <w:lang w:val="en-US"/>
        </w:rPr>
      </w:pPr>
      <w:r>
        <w:rPr>
          <w:rFonts w:hint="eastAsia" w:ascii="仿宋_GB2312" w:hAnsi="Times New Roman" w:eastAsia="仿宋_GB2312" w:cs="仿宋_GB2312"/>
          <w:color w:val="auto"/>
          <w:sz w:val="32"/>
          <w:szCs w:val="32"/>
          <w:lang w:val="en-US" w:eastAsia="zh-CN"/>
        </w:rPr>
        <w:t xml:space="preserve"> 5</w:t>
      </w:r>
      <w:r>
        <w:rPr>
          <w:rFonts w:hint="eastAsia" w:ascii="仿宋_GB2312" w:hAnsi="Times New Roman"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志愿服务规范化管理</w:t>
      </w:r>
      <w:r>
        <w:rPr>
          <w:rFonts w:hint="eastAsia" w:ascii="仿宋_GB2312" w:hAnsi="仿宋_GB2312" w:eastAsia="仿宋_GB2312" w:cs="仿宋_GB2312"/>
          <w:color w:val="auto"/>
          <w:sz w:val="32"/>
          <w:szCs w:val="32"/>
        </w:rPr>
        <w:t>项目</w:t>
      </w:r>
      <w:r>
        <w:rPr>
          <w:rFonts w:hint="eastAsia" w:ascii="仿宋_GB2312" w:hAnsi="Times New Roman" w:eastAsia="仿宋_GB2312" w:cs="仿宋_GB2312"/>
          <w:color w:val="auto"/>
          <w:sz w:val="32"/>
          <w:szCs w:val="32"/>
        </w:rPr>
        <w:t>自评综述：根据年初设定的绩效目标，项目自评得分</w:t>
      </w:r>
      <w:r>
        <w:rPr>
          <w:rFonts w:hint="eastAsia" w:ascii="仿宋_GB2312" w:hAnsi="Times New Roman" w:eastAsia="仿宋_GB2312" w:cs="仿宋_GB2312"/>
          <w:color w:val="auto"/>
          <w:sz w:val="32"/>
          <w:szCs w:val="32"/>
          <w:lang w:val="en-US" w:eastAsia="zh-CN"/>
        </w:rPr>
        <w:t>95</w:t>
      </w:r>
      <w:r>
        <w:rPr>
          <w:rFonts w:hint="eastAsia" w:ascii="仿宋_GB2312" w:hAnsi="Times New Roman" w:eastAsia="仿宋_GB2312" w:cs="仿宋_GB2312"/>
          <w:color w:val="auto"/>
          <w:sz w:val="32"/>
          <w:szCs w:val="32"/>
        </w:rPr>
        <w:t>分。全年预算数为</w:t>
      </w:r>
      <w:r>
        <w:rPr>
          <w:rFonts w:hint="eastAsia" w:ascii="仿宋_GB2312" w:hAnsi="Times New Roman" w:eastAsia="仿宋_GB2312" w:cs="仿宋_GB2312"/>
          <w:color w:val="auto"/>
          <w:sz w:val="32"/>
          <w:szCs w:val="32"/>
          <w:lang w:val="en-US" w:eastAsia="zh-CN"/>
        </w:rPr>
        <w:t>11</w:t>
      </w:r>
      <w:r>
        <w:rPr>
          <w:rFonts w:hint="eastAsia" w:ascii="仿宋_GB2312" w:hAnsi="Times New Roman" w:eastAsia="仿宋_GB2312" w:cs="仿宋_GB2312"/>
          <w:color w:val="auto"/>
          <w:sz w:val="32"/>
          <w:szCs w:val="32"/>
        </w:rPr>
        <w:t>万元，执行数为</w:t>
      </w:r>
      <w:r>
        <w:rPr>
          <w:rFonts w:hint="eastAsia" w:ascii="仿宋_GB2312" w:hAnsi="Times New Roman" w:eastAsia="仿宋_GB2312" w:cs="仿宋_GB2312"/>
          <w:color w:val="auto"/>
          <w:sz w:val="32"/>
          <w:szCs w:val="32"/>
          <w:lang w:val="en-US" w:eastAsia="zh-CN"/>
        </w:rPr>
        <w:t>11</w:t>
      </w:r>
      <w:r>
        <w:rPr>
          <w:rFonts w:hint="eastAsia" w:ascii="仿宋_GB2312" w:hAnsi="Times New Roman" w:eastAsia="仿宋_GB2312" w:cs="仿宋_GB2312"/>
          <w:color w:val="auto"/>
          <w:sz w:val="32"/>
          <w:szCs w:val="32"/>
        </w:rPr>
        <w:t>万元，完成预算的100%。项目绩效目标完成情况：</w:t>
      </w:r>
      <w:r>
        <w:rPr>
          <w:rFonts w:hint="eastAsia" w:ascii="仿宋_GB2312" w:hAnsi="Times New Roman" w:eastAsia="仿宋_GB2312" w:cs="仿宋_GB2312"/>
          <w:color w:val="auto"/>
          <w:sz w:val="32"/>
          <w:szCs w:val="32"/>
          <w:lang w:val="en-US" w:eastAsia="zh-CN"/>
        </w:rPr>
        <w:t>已经完成打造以“党建阵地、组织管理、活动认领、积分兑换、微心愿、社工园地、法律园地”的七大板块为主的志愿服务规范化管理平台，</w:t>
      </w:r>
      <w:r>
        <w:rPr>
          <w:rFonts w:hint="eastAsia" w:ascii="仿宋_GB2312" w:hAnsi="Times New Roman" w:eastAsia="仿宋_GB2312" w:cs="仿宋_GB2312"/>
          <w:color w:val="auto"/>
          <w:sz w:val="32"/>
          <w:szCs w:val="32"/>
        </w:rPr>
        <w:t>发现的主要问题及原因：</w:t>
      </w:r>
      <w:r>
        <w:rPr>
          <w:rFonts w:hint="eastAsia" w:ascii="仿宋_GB2312" w:hAnsi="Times New Roman" w:eastAsia="仿宋_GB2312" w:cs="仿宋_GB2312"/>
          <w:color w:val="auto"/>
          <w:sz w:val="32"/>
          <w:szCs w:val="32"/>
          <w:lang w:val="en-US" w:eastAsia="zh-CN"/>
        </w:rPr>
        <w:t>平台建设时期较长，进度较为缓慢，未按照合同规定时间完成平台建设工作。</w:t>
      </w:r>
      <w:r>
        <w:rPr>
          <w:rFonts w:hint="eastAsia" w:ascii="仿宋_GB2312" w:hAnsi="Times New Roman" w:eastAsia="仿宋_GB2312" w:cs="仿宋_GB2312"/>
          <w:color w:val="auto"/>
          <w:sz w:val="32"/>
          <w:szCs w:val="32"/>
        </w:rPr>
        <w:t>下一步改进措施：</w:t>
      </w:r>
      <w:r>
        <w:rPr>
          <w:rFonts w:hint="eastAsia" w:ascii="仿宋_GB2312" w:hAnsi="Times New Roman" w:eastAsia="仿宋_GB2312" w:cs="仿宋_GB2312"/>
          <w:color w:val="auto"/>
          <w:sz w:val="32"/>
          <w:szCs w:val="32"/>
          <w:lang w:val="en-US" w:eastAsia="zh-CN"/>
        </w:rPr>
        <w:t>下一步将加大志愿服务规范化管理平台的推广和应用。</w:t>
      </w:r>
      <w:r>
        <w:rPr>
          <w:rFonts w:hint="default" w:ascii="Times New Roman" w:hAnsi="Times New Roman" w:cs="Times New Roman"/>
          <w:color w:val="auto"/>
          <w:sz w:val="32"/>
          <w:szCs w:val="32"/>
          <w:lang w:val="en-US"/>
        </w:rPr>
        <w:t> </w:t>
      </w:r>
    </w:p>
    <w:p>
      <w:pPr>
        <w:pStyle w:val="2"/>
        <w:ind w:left="0" w:leftChars="0" w:firstLine="640" w:firstLineChars="200"/>
        <w:rPr>
          <w:color w:val="auto"/>
        </w:rPr>
      </w:pPr>
      <w:r>
        <w:rPr>
          <w:rFonts w:hint="eastAsia" w:ascii="仿宋_GB2312" w:hAnsi="Times New Roman" w:eastAsia="仿宋_GB2312" w:cs="仿宋_GB2312"/>
          <w:color w:val="auto"/>
          <w:sz w:val="32"/>
          <w:szCs w:val="32"/>
        </w:rPr>
        <w:t>自评表已上传附件，详见《项目支出绩效自评表》</w:t>
      </w:r>
      <w:r>
        <w:rPr>
          <w:rFonts w:hint="eastAsia" w:ascii="仿宋_GB2312" w:hAnsi="Times New Roman" w:eastAsia="仿宋_GB2312" w:cs="仿宋_GB2312"/>
          <w:color w:val="auto"/>
          <w:sz w:val="32"/>
          <w:szCs w:val="32"/>
          <w:lang w:eastAsia="zh-CN"/>
        </w:rPr>
        <w:t>。</w:t>
      </w:r>
    </w:p>
    <w:p>
      <w:pPr>
        <w:keepNext w:val="0"/>
        <w:keepLines w:val="0"/>
        <w:widowControl/>
        <w:suppressLineNumbers w:val="0"/>
        <w:autoSpaceDE w:val="0"/>
        <w:autoSpaceDN w:val="0"/>
        <w:spacing w:before="100" w:beforeAutospacing="1" w:after="100" w:afterAutospacing="1" w:line="580" w:lineRule="atLeast"/>
        <w:ind w:left="0" w:right="0" w:firstLine="600"/>
        <w:rPr>
          <w:color w:val="auto"/>
        </w:rPr>
      </w:pPr>
      <w:r>
        <w:rPr>
          <w:rFonts w:hint="eastAsia" w:ascii="仿宋_GB2312" w:eastAsia="仿宋_GB2312" w:cs="仿宋_GB2312"/>
          <w:color w:val="auto"/>
          <w:sz w:val="32"/>
          <w:szCs w:val="32"/>
        </w:rPr>
        <w:t>（三）部门评价项目绩效评价结果。</w:t>
      </w:r>
    </w:p>
    <w:p>
      <w:pPr>
        <w:pStyle w:val="2"/>
        <w:spacing w:beforeLines="0" w:afterLines="0"/>
        <w:rPr>
          <w:color w:val="auto"/>
        </w:rPr>
      </w:pPr>
      <w:r>
        <w:rPr>
          <w:rFonts w:hint="eastAsia" w:ascii="仿宋_GB2312" w:hAnsi="Times New Roman" w:eastAsia="仿宋_GB2312" w:cs="仿宋_GB2312"/>
          <w:color w:val="auto"/>
          <w:sz w:val="32"/>
          <w:szCs w:val="32"/>
        </w:rPr>
        <w:t>本单位无部门重点评价项目。</w:t>
      </w:r>
    </w:p>
    <w:p>
      <w:pPr>
        <w:keepNext w:val="0"/>
        <w:keepLines w:val="0"/>
        <w:widowControl/>
        <w:suppressLineNumbers w:val="0"/>
        <w:autoSpaceDE w:val="0"/>
        <w:autoSpaceDN w:val="0"/>
        <w:spacing w:before="100" w:beforeAutospacing="0" w:after="100" w:afterAutospacing="0" w:line="580" w:lineRule="atLeast"/>
        <w:ind w:left="0" w:right="0" w:firstLine="600"/>
        <w:jc w:val="left"/>
        <w:rPr>
          <w:color w:val="auto"/>
        </w:rPr>
      </w:pPr>
      <w:r>
        <w:rPr>
          <w:rFonts w:hint="eastAsia" w:ascii="仿宋_GB2312" w:eastAsia="仿宋_GB2312" w:cs="仿宋_GB2312"/>
          <w:b/>
          <w:bCs/>
          <w:color w:val="auto"/>
          <w:sz w:val="32"/>
          <w:szCs w:val="32"/>
        </w:rPr>
        <w:t>第三部分 名词解释</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（一）财政拨款收入：指本年度从本级财政部门取得的财政拨款，包括一般公共预算财政拨款、政府性基金预算财政拨款和国有资本经营预算财政拨款。</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（二）事业收入：指事业单位开展专业业务活动及其辅助活动取得的收入；事业单位收到的财政专户实际核拨的教育收费等资金。</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（三）经营收入：指事业单位在专业业务活动及其辅助活动之外开展非独立核算经营活动取得的收入。</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四）其他收入：指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（五）使用非财政拨款结余：指事业单位使用以前年度积累的非财政拨款结余弥补当年收支差额的金额。</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（六）年初结转和结余：指以前年度支出预算因客观条件变化未执行完毕、结转到本年度按有关规定继续使用的资金。</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（七）结余分配：指事业单位按照会计制度规定缴纳的所得税以及从非财政拨款结余中提取的职工福利基金、事业基金等。</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（八）年末结转和结余：指单位本年度或以前年度预算安排、因客观条件发生变化未全部执行或未执行，结转到以后年度继续使用的资金，或项目已完成等产生的结余资金。</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（九）基本支出：指为保障机构正常运转、完成日常工作任务而发生的人员经费和公用经费。其中：人员经费指政府收支分类经济科目中的</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工资福利支出</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和</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对个人和家庭的补助</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；公用经费指政府收支分类经济科目中除</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工资福利支出</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和</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对个人和家庭的补助</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外的其他支出。</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（十）项目支出：指在基本支出之外为完成特定任务和事业发展目标所发生的支出。</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（十一）经营支出：指事业单位在专业业务活动及其辅助活动之外开展非独立核算经营活动发生的支出。</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（十二）</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三公</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rPr>
        <w:t>经费：指用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十三）机关运行经费：指行政单位和参照公务员法管理的事业单位使用一般公共预算财政拨款安排的基本支出中的日常公用经费支出。未包含行政单位或参照公务员法管理事业单位的部门，参照此口径公开本部门的日常公用经费，并与预算公开保持一致。</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（十四）工资福利支出（支出经济分类科目类级）：反映单位开支的在职职工和编制外长期聘用人员的各类劳动报酬，以及为上述人员缴纳的各项社会保险费等。</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（十五）商品和服务支出（支出经济分类科目类级）：反映单位购买商品和服务的支出（不包括用于购置固定资产的支出、战略性和应急储备支出）。</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（十六）对个人和家庭的补助（支出经济分类科目类级）：反映用于对个人和家庭的补助支出。</w:t>
      </w:r>
    </w:p>
    <w:p>
      <w:pPr>
        <w:keepNext w:val="0"/>
        <w:keepLines w:val="0"/>
        <w:widowControl/>
        <w:suppressLineNumbers w:val="0"/>
        <w:autoSpaceDE w:val="0"/>
        <w:autoSpaceDN w:val="0"/>
        <w:spacing w:before="100" w:beforeAutospacing="0" w:after="100" w:afterAutospacing="0" w:line="580" w:lineRule="atLeast"/>
        <w:ind w:left="0" w:right="0" w:firstLine="600"/>
        <w:rPr>
          <w:color w:val="auto"/>
        </w:rPr>
      </w:pPr>
      <w:r>
        <w:rPr>
          <w:rFonts w:hint="eastAsia" w:ascii="仿宋_GB2312" w:eastAsia="仿宋_GB2312" w:cs="仿宋_GB2312"/>
          <w:color w:val="auto"/>
          <w:sz w:val="32"/>
          <w:szCs w:val="32"/>
        </w:rPr>
        <w:t>（十七）资本性支出（支出经济分类科目类级）：反映非各级发展与改革部门集中安排的用于购置固定资产、战略性和应急性储备、土地和无形资产，以及构建基础设施、大型修缮和财政支持企业更新改造所发生的支出。</w:t>
      </w:r>
    </w:p>
    <w:p>
      <w:pPr>
        <w:keepNext w:val="0"/>
        <w:keepLines w:val="0"/>
        <w:widowControl/>
        <w:suppressLineNumbers w:val="0"/>
        <w:autoSpaceDE w:val="0"/>
        <w:autoSpaceDN w:val="0"/>
        <w:spacing w:before="100" w:beforeAutospacing="0" w:after="100" w:afterAutospacing="0" w:line="580" w:lineRule="atLeast"/>
        <w:ind w:left="0" w:right="0" w:firstLine="600"/>
        <w:jc w:val="left"/>
        <w:rPr>
          <w:color w:val="auto"/>
        </w:rPr>
      </w:pPr>
      <w:r>
        <w:rPr>
          <w:rFonts w:hint="default" w:ascii="Times New Roman" w:hAnsi="Times New Roman" w:cs="Times New Roman"/>
          <w:color w:val="auto"/>
          <w:sz w:val="32"/>
          <w:szCs w:val="32"/>
          <w:lang w:val="en-US"/>
        </w:rPr>
        <w:t> </w:t>
      </w:r>
    </w:p>
    <w:p>
      <w:pPr>
        <w:keepNext w:val="0"/>
        <w:keepLines w:val="0"/>
        <w:widowControl/>
        <w:suppressLineNumbers w:val="0"/>
        <w:autoSpaceDE w:val="0"/>
        <w:autoSpaceDN w:val="0"/>
        <w:spacing w:before="100" w:beforeAutospacing="0" w:after="100" w:afterAutospacing="0" w:line="580" w:lineRule="atLeast"/>
        <w:ind w:left="0" w:right="0" w:firstLine="600"/>
        <w:jc w:val="left"/>
        <w:rPr>
          <w:color w:val="auto"/>
        </w:rPr>
      </w:pPr>
      <w:r>
        <w:rPr>
          <w:rFonts w:hint="eastAsia" w:ascii="仿宋_GB2312" w:eastAsia="仿宋_GB2312" w:cs="仿宋_GB2312"/>
          <w:b/>
          <w:bCs/>
          <w:color w:val="auto"/>
          <w:sz w:val="32"/>
          <w:szCs w:val="32"/>
        </w:rPr>
        <w:t>第四部分 决算公开联系方式及信息反馈渠道</w:t>
      </w:r>
    </w:p>
    <w:p>
      <w:pPr>
        <w:keepNext w:val="0"/>
        <w:keepLines w:val="0"/>
        <w:widowControl/>
        <w:suppressLineNumbers w:val="0"/>
        <w:autoSpaceDE w:val="0"/>
        <w:autoSpaceDN w:val="0"/>
        <w:spacing w:before="100" w:beforeAutospacing="0" w:after="100" w:afterAutospacing="0" w:line="580" w:lineRule="atLeast"/>
        <w:ind w:left="0" w:right="0" w:firstLine="600"/>
        <w:jc w:val="left"/>
        <w:rPr>
          <w:color w:val="auto"/>
        </w:rPr>
      </w:pPr>
      <w:r>
        <w:rPr>
          <w:rFonts w:hint="eastAsia" w:ascii="仿宋_GB2312" w:eastAsia="仿宋_GB2312" w:cs="仿宋_GB2312"/>
          <w:color w:val="auto"/>
          <w:sz w:val="32"/>
          <w:szCs w:val="32"/>
        </w:rPr>
        <w:t>本单位决算公开信息反馈和联系方式：</w:t>
      </w:r>
    </w:p>
    <w:p>
      <w:pPr>
        <w:keepNext w:val="0"/>
        <w:keepLines w:val="0"/>
        <w:widowControl/>
        <w:suppressLineNumbers w:val="0"/>
        <w:autoSpaceDE w:val="0"/>
        <w:autoSpaceDN w:val="0"/>
        <w:spacing w:before="100" w:beforeAutospacing="0" w:after="100" w:afterAutospacing="0" w:line="580" w:lineRule="atLeast"/>
        <w:ind w:left="0" w:right="0" w:firstLine="600"/>
        <w:jc w:val="left"/>
        <w:rPr>
          <w:color w:val="auto"/>
        </w:rPr>
      </w:pPr>
      <w:r>
        <w:rPr>
          <w:rFonts w:hint="eastAsia" w:ascii="仿宋_GB2312" w:eastAsia="仿宋_GB2312" w:cs="仿宋_GB2312"/>
          <w:color w:val="auto"/>
          <w:sz w:val="32"/>
          <w:szCs w:val="32"/>
        </w:rPr>
        <w:t>联系人：</w:t>
      </w:r>
      <w:r>
        <w:rPr>
          <w:rFonts w:hint="eastAsia" w:ascii="仿宋_GB2312" w:eastAsia="仿宋_GB2312" w:cs="仿宋_GB2312"/>
          <w:color w:val="auto"/>
          <w:sz w:val="32"/>
          <w:szCs w:val="32"/>
          <w:lang w:val="en-US"/>
        </w:rPr>
        <w:t xml:space="preserve">刘畅 </w:t>
      </w:r>
      <w:r>
        <w:rPr>
          <w:rFonts w:hint="default" w:ascii="Times New Roman" w:hAnsi="Times New Roman" w:cs="Times New Roman"/>
          <w:color w:val="auto"/>
          <w:sz w:val="32"/>
          <w:szCs w:val="32"/>
          <w:lang w:val="en-US"/>
        </w:rPr>
        <w:t>   </w:t>
      </w:r>
      <w:r>
        <w:rPr>
          <w:rFonts w:hint="eastAsia" w:ascii="仿宋_GB2312" w:eastAsia="仿宋_GB2312" w:cs="仿宋_GB2312"/>
          <w:color w:val="auto"/>
          <w:sz w:val="32"/>
          <w:szCs w:val="32"/>
        </w:rPr>
        <w:t>联系电话：</w:t>
      </w:r>
      <w:r>
        <w:rPr>
          <w:rFonts w:hint="eastAsia" w:ascii="仿宋_GB2312" w:eastAsia="仿宋_GB2312" w:cs="仿宋_GB2312"/>
          <w:color w:val="auto"/>
          <w:sz w:val="32"/>
          <w:szCs w:val="32"/>
          <w:lang w:val="en-US"/>
        </w:rPr>
        <w:t>0472</w:t>
      </w:r>
      <w:r>
        <w:rPr>
          <w:rFonts w:hint="default" w:ascii="Times New Roman" w:hAnsi="Times New Roman" w:cs="Times New Roman"/>
          <w:color w:val="auto"/>
          <w:sz w:val="32"/>
          <w:szCs w:val="32"/>
          <w:lang w:val="en-US"/>
        </w:rPr>
        <w:t>-</w:t>
      </w:r>
      <w:r>
        <w:rPr>
          <w:rFonts w:hint="eastAsia" w:ascii="仿宋_GB2312" w:eastAsia="仿宋_GB2312" w:cs="仿宋_GB2312"/>
          <w:color w:val="auto"/>
          <w:sz w:val="32"/>
          <w:szCs w:val="32"/>
          <w:lang w:val="en-US"/>
        </w:rPr>
        <w:t>5618592</w:t>
      </w:r>
    </w:p>
    <w:p>
      <w:pPr>
        <w:keepNext w:val="0"/>
        <w:keepLines w:val="0"/>
        <w:widowControl/>
        <w:suppressLineNumbers w:val="0"/>
        <w:autoSpaceDE w:val="0"/>
        <w:autoSpaceDN w:val="0"/>
        <w:spacing w:before="100" w:beforeAutospacing="1" w:after="100" w:afterAutospacing="1"/>
        <w:ind w:left="0" w:right="0"/>
        <w:jc w:val="left"/>
        <w:rPr>
          <w:color w:val="auto"/>
        </w:rPr>
      </w:pPr>
      <w:r>
        <w:rPr>
          <w:rFonts w:hint="default" w:ascii="Times New Roman" w:hAnsi="Times New Roman" w:cs="Times New Roman"/>
          <w:color w:val="auto"/>
          <w:sz w:val="18"/>
          <w:szCs w:val="18"/>
        </w:rPr>
        <w:t> </w:t>
      </w:r>
    </w:p>
    <w:p>
      <w:pPr>
        <w:keepNext w:val="0"/>
        <w:keepLines w:val="0"/>
        <w:widowControl/>
        <w:suppressLineNumbers w:val="0"/>
        <w:autoSpaceDE w:val="0"/>
        <w:autoSpaceDN w:val="0"/>
        <w:spacing w:before="100" w:beforeAutospacing="1" w:after="100" w:afterAutospacing="1"/>
        <w:ind w:left="0" w:right="0"/>
        <w:jc w:val="left"/>
        <w:rPr>
          <w:color w:val="auto"/>
        </w:rPr>
      </w:pPr>
      <w:r>
        <w:rPr>
          <w:rFonts w:hint="eastAsia" w:ascii="仿宋_GB2312" w:eastAsia="仿宋_GB2312" w:cs="仿宋_GB2312"/>
          <w:b/>
          <w:bCs/>
          <w:color w:val="auto"/>
          <w:sz w:val="44"/>
          <w:szCs w:val="44"/>
          <w:lang w:val="en-US"/>
        </w:rPr>
        <w:t> </w:t>
      </w:r>
    </w:p>
    <w:sectPr>
      <w:pgSz w:w="11915" w:h="16851"/>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6B48BB"/>
    <w:multiLevelType w:val="singleLevel"/>
    <w:tmpl w:val="A66B48BB"/>
    <w:lvl w:ilvl="0" w:tentative="0">
      <w:start w:val="1"/>
      <w:numFmt w:val="chineseCounting"/>
      <w:suff w:val="nothing"/>
      <w:lvlText w:val="（%1）"/>
      <w:lvlJc w:val="left"/>
      <w:pPr>
        <w:ind w:left="-1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wMDRkZDdkODc3NzFiMmMwYjlkNzg1Njk2NzQyMDAifQ=="/>
  </w:docVars>
  <w:rsids>
    <w:rsidRoot w:val="282B20C9"/>
    <w:rsid w:val="01DD1E9F"/>
    <w:rsid w:val="024535A0"/>
    <w:rsid w:val="10EC17B7"/>
    <w:rsid w:val="193B1658"/>
    <w:rsid w:val="282B20C9"/>
    <w:rsid w:val="2BA42EFC"/>
    <w:rsid w:val="2C666469"/>
    <w:rsid w:val="33356B95"/>
    <w:rsid w:val="40FF7A5F"/>
    <w:rsid w:val="45EF0E26"/>
    <w:rsid w:val="48D80297"/>
    <w:rsid w:val="4A8204BA"/>
    <w:rsid w:val="5D1B378E"/>
    <w:rsid w:val="67B16F17"/>
    <w:rsid w:val="68820F9E"/>
    <w:rsid w:val="6C83069D"/>
    <w:rsid w:val="70EB02B8"/>
    <w:rsid w:val="71D945B4"/>
    <w:rsid w:val="728409C4"/>
    <w:rsid w:val="79197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left"/>
    </w:pPr>
    <w:rPr>
      <w:rFonts w:ascii="宋体" w:hAnsi="宋体" w:eastAsia="宋体" w:cs="宋体"/>
      <w:kern w:val="0"/>
      <w:sz w:val="24"/>
      <w:szCs w:val="24"/>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pPr>
    <w:rPr>
      <w:rFonts w:hint="eastAsia"/>
      <w:sz w:val="24"/>
      <w:szCs w:val="24"/>
    </w:rPr>
  </w:style>
  <w:style w:type="paragraph" w:styleId="3">
    <w:name w:val="Body Text Indent"/>
    <w:basedOn w:val="1"/>
    <w:unhideWhenUsed/>
    <w:qFormat/>
    <w:uiPriority w:val="0"/>
    <w:pPr>
      <w:spacing w:after="120"/>
      <w:ind w:left="420" w:leftChars="200"/>
      <w:jc w:val="left"/>
    </w:pPr>
    <w:rPr>
      <w:rFonts w:hint="eastAsia" w:ascii="宋体" w:hAnsi="宋体"/>
      <w:kern w:val="0"/>
      <w:sz w:val="24"/>
      <w:szCs w:val="24"/>
    </w:rPr>
  </w:style>
  <w:style w:type="paragraph" w:styleId="4">
    <w:name w:val="Body Text"/>
    <w:basedOn w:val="1"/>
    <w:unhideWhenUsed/>
    <w:qFormat/>
    <w:uiPriority w:val="1"/>
    <w:pPr>
      <w:spacing w:beforeLines="0" w:after="120" w:afterLines="0"/>
    </w:pPr>
    <w:rPr>
      <w:rFonts w:hint="default"/>
      <w:sz w:val="21"/>
      <w:szCs w:val="21"/>
    </w:rPr>
  </w:style>
  <w:style w:type="paragraph" w:styleId="5">
    <w:name w:val="HTML Preformatted"/>
    <w:basedOn w:val="1"/>
    <w:qFormat/>
    <w:uiPriority w:val="0"/>
    <w:pPr>
      <w:keepNext w:val="0"/>
      <w:keepLines w:val="0"/>
      <w:widowControl w:val="0"/>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www.wps.cn/officeDocument/2018/webExtension" Target="webExtensions/webExtension2.xml"/><Relationship Id="rId5" Type="http://schemas.openxmlformats.org/officeDocument/2006/relationships/image" Target="media/image1.png"/><Relationship Id="rId4" Type="http://www.wps.cn/officeDocument/2018/webExtension" Target="webExtensions/webExtension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webExtensions/_rels/webExtension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package" Target="../embeddings/Workbook1.xlsx"/></Relationships>
</file>

<file path=word/webExtensions/_rels/webExtension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package" Target="../embeddings/Workbook2.xlsx"/></Relationships>
</file>

<file path=word/webExtensions/webExtension1.xml><?xml version="1.0" encoding="utf-8"?>
<wpswe:webExtension xmlns:wpswe="http://www.wps.cn/officeDocument/2018/webExtension">
  <wpswe:extSource id="dschart" version="1.0"/>
  <wpswe:properties>
    <wpswe:property key="DiscardFirstCodeChange" value="0"/>
    <wpswe:property key="autoSnapshot" value="0"/>
    <wpswe:property key="dschart" value="{&quot;dschart_data&quot;:{&quot;blockId&quot;:&quot;164758982116793344&quot;,&quot;chart_type&quot;:&quot;饼图&quot;,&quot;classifty_type&quot;:[&quot;占比类&quot;],&quot;dataSrc&quot;:{&quot;data&quot;:[[[&quot;收入&quot;,&quot;占比（%）&quot;],[&quot;财政拨款收入&quot;,&quot;99.77&quot;],[&quot;其他收入&quot;,&quot;0.23&quot;]]],&quot;dataType&quot;:&quot;obejct-table&quot;,&quot;download&quot;:false,&quot;srcType&quot;:&quot;local&quot;,&quot;url&quot;:&quot;&quot;},&quot;function_type&quot;:[&quot;饼图&quot;],&quot;gif&quot;:&quot;https://image.dycharts.com/444746070325460997.gif?imageView2/2/w/500/quality/90&quot;,&quot;isDocNotWatermark&quot;:true,&quot;isFree&quot;:&quot;0&quot;,&quot;label&quot;:&quot;&lt;e-piebasic-chart&gt;&quot;,&quot;position&quot;:{&quot;left&quot;:0,&quot;top&quot;:0},&quot;price&quot;:0,&quot;projectId&quot;:&quot;164759430046172228&quot;,&quot;props&quot;:{&quot;animation&quot;:{&quot;duration&quot;:&quot;1.5&quot;,&quot;easeStyle&quot;:&quot;&quot;,&quot;endPause&quot;:&quot;1&quot;,&quot;moveOptions&quot;:[&quot;轮子&quot;,&quot;百叶窗&quot;,&quot;折扇&quot;,&quot;径向展开&quot;],&quot;moveStyle&quot;:&quot;轮子&quot;,&quot;startDelay&quot;:&quot;0&quot;,&quot;transition&quot;:true},&quot;backgroundColor&quot;:&quot;#FFFFFF&quot;,&quot;colors&quot;:{&quot;colorControlers&quot;:[&quot;multiple&quot;,&quot;linear&quot;],&quot;list&quot;:[0,1],&quot;type&quot;:&quot;multiple&quot;},&quot;display&quot;:{&quot;borderColor&quot;:&quot;#FFFFFF&quot;,&quot;borderWidth&quot;:2.5,&quot;cornerRadius&quot;:0,&quot;fillOpacity&quot;:1,&quot;gapPercentage&quot;:0.8,&quot;innerRadiusRatio&quot;:0.046},&quot;label&quot;:{&quot;contentChoice&quot;:[&quot;百分比&quot;],&quot;contentOption&quot;:[&quot;名称&quot;,&quot;百分比&quot;,&quot;数值&quot;],&quot;display&quot;:true,&quot;positionChoice&quot;:&quot;内部周向&quot;,&quot;positionOptions&quot;:[&quot;内部周向&quot;,&quot;内部水平&quot;,&quot;外部&quot;],&quot;suffix&quot;:&quot;&quot;,&quot;textLabel&quot;:{&quot;color&quot;:&quot;#ffffffff&quot;,&quot;fontFamily&quot;:&quot;OPPOSans-M&quot;,&quot;fontSize&quot;:&quot;20&quot;}},&quot;legend&quot;:{&quot;color&quot;:[&quot;#545454&quot;],&quot;fontFamily&quot;:&quot;阿里巴巴普惠体常规&quot;,&quot;fontSize&quot;:&quot;14&quot;,&quot;lineHeight&quot;:&quot;15&quot;,&quot;show&quot;:true,&quot;style&quot;:&quot;&quot;,&quot;styleOptions&quot;:[],&quot;xPosition&quot;:&quot;center&quot;,&quot;yPosition&quot;:&quot;bottom&quot;},&quot;logoDisplay&quot;:{&quot;bottomLineHeight&quot;:&quot;15&quot;,&quot;imgHeight&quot;:&quot;32&quot;,&quot;imgUrl&quot;:&quot;https://ss1.dycharts.com/newchartLogo.png&quot;,&quot;show&quot;:false,&quot;topLineHeight&quot;:&quot;11&quot;},&quot;map&quot;:[[{&quot;allowType&quot;:[&quot;string&quot;],&quot;configurable&quot;:false,&quot;function&quot;:&quot;objCol&quot;,&quot;index&quot;:0,&quot;isLegend&quot;:true,&quot;name&quot;:&quot;名称&quot;},{&quot;allowType&quot;:[&quot;number&quot;],&quot;configurable&quot;:false,&quot;function&quot;:&quot;vCol&quot;,&quot;index&quot;:1,&quot;isLegend&quot;:false,&quot;name&quot;:&quot;值&quot;}]],&quot;numberFormat&quot;:{&quot;decimalPlaces&quot;:&quot;&quot;,&quot;style&quot;:&quot;1000.00&quot;},&quot;paddings&quot;:{&quot;bottom&quot;:&quot;23&quot;,&quot;chartBottom&quot;:&quot;5&quot;,&quot;left&quot;:&quot;24&quot;,&quot;right&quot;:&quot;24&quot;,&quot;top&quot;:&quot;20&quot;},&quot;publishDisplay&quot;:{&quot;color&quot;:&quot;#878787&quot;,&quot;fontFamily&quot;:&quot;阿里巴巴普惠体 常规&quot;,&quot;fontSize&quot;:&quot;14&quot;,&quot;show&quot;:false,&quot;text&quot;:&quot;镝数出品&quot;},&quot;shadow&quot;:{&quot;display&quot;:true,&quot;shadowAngle&quot;:&quot;45&quot;,&quot;shadowBlur&quot;:&quot;5&quot;,&quot;shadowColor&quot;:&quot;#a8a8a7cc&quot;,&quot;shadowOpacity&quot;:&quot;100&quot;,&quot;shadowRadius&quot;:&quot;3&quot;},&quot;size&quot;:{&quot;height&quot;:251.61290322580646,&quot;ratio&quot;:&quot;&quot;,&quot;rotate&quot;:0,&quot;width&quot;:400.6451612903226},&quot;sourceDisplay&quot;:{&quot;color&quot;:&quot;#878787&quot;,&quot;fontFamily&quot;:&quot;阿里巴巴普惠体 常规&quot;,&quot;fontSize&quot;:&quot;14&quot;,&quot;show&quot;:false,&quot;text&quot;:&quot;数据来源：示例数据&quot;,&quot;topLineHeight&quot;:&quot;15&quot;,&quot;xPosition&quot;:&quot;left&quot;,&quot;yPosition&quot;:&quot;bottom&quot;},&quot;titleDisplay&quot;:{&quot;color&quot;:&quot;#4c4c4c&quot;,&quot;fontFamily&quot;:&quot;阿里巴巴普惠体 常规&quot;,&quot;fontSize&quot;:&quot;30&quot;,&quot;lineHeight&quot;:&quot;10&quot;,&quot;show&quot;:false,&quot;text&quot;:&quot;中国网红受教育水平&quot;,&quot;totalHeight&quot;:&quot;39&quot;,&quot;xPosition&quot;:&quot;center&quot;,&quot;yPosition&quot;:&quot;top&quot;},&quot;tooltip&quot;:true,&quot;unitDisplay&quot;:{&quot;bottomLineHeight&quot;:&quot;15&quot;,&quot;color&quot;:&quot;#878787&quot;,&quot;fontFamily&quot;:&quot;阿里巴巴普惠体常规&quot;,&quot;fontSize&quot;:&quot;14&quot;,&quot;show&quot;:false,&quot;text&quot;:&quot;单位：%&quot;,&quot;xPosition&quot;:&quot;left&quot;,&quot;yPosition&quot;:&quot;top&quot;},&quot;watermarkDisplay&quot;:{&quot;imgHeight&quot;:&quot;80&quot;,&quot;imgUrl&quot;:&quot;https://ss1.dycharts.com/newchartWatermark.png&quot;,&quot;imgWidth&quot;:&quot;80&quot;,&quot;show&quot;:false}},&quot;templateId&quot;:&quot;444746070325460997-7&quot;,&quot;templateSwitch&quot;:&quot;key-value&quot;,&quot;theme&quot;:{&quot;_id&quot;:45,&quot;axis&quot;:{&quot;color&quot;:&quot;#a1a1a1&quot;},&quot;backgroundColor&quot;:&quot;#FFFFFF&quot;,&quot;card_color&quot;:&quot;#E6EFE9&quot;,&quot;colors&quot;:[&quot;#74BE8B&quot;,&quot;#A4D252&quot;,&quot;#C2CD57&quot;,&quot;#DACE36&quot;,&quot;#E0C252&quot;,&quot;#E19C51&quot;,&quot;#74BE8B&quot;,&quot;#A4D252&quot;,&quot;#C2CD57&quot;,&quot;#DACE36&quot;,&quot;#E0C252&quot;,&quot;#E19C51&quot;,&quot;#E0C252&quot;,&quot;#E19C51&quot;],&quot;fonts&quot;:{&quot;accessoryColor&quot;:&quot;#878787&quot;,&quot;color&quot;:&quot;#545454&quot;,&quot;fontFamily&quot;:&quot;阿里巴巴普惠体常规&quot;,&quot;fontSize&quot;:&quot;14&quot;},&quot;grid&quot;:{&quot;color&quot;:&quot;#ccc&quot;},&quot;name&quot;:&quot;简约绿2.0&quot;,&quot;price&quot;:0,&quot;shapeColor&quot;:1,&quot;themeId&quot;:45,&quot;thumb&quot;:&quot;https://ss1.dydata.io/v2/themes/45.png&quot;,&quot;titleFont&quot;:{&quot;color&quot;:&quot;#4c4c4c&quot;,&quot;fontFamily&quot;:&quot;阿里巴巴普惠体 常规&quot;,&quot;fontSize&quot;:&quot;36&quot;},&quot;typeColor&quot;:{&quot;name&quot;:[&quot;绿色&quot;],&quot;num&quot;:[&quot;1&quot;]},&quot;typeStyle&quot;:{&quot;name&quot;:[&quot;简约&quot;],&quot;num&quot;:[&quot;2&quot;]},&quot;typeSystem&quot;:{&quot;name&quot;:[&quot;浅色系&quot;,&quot;多彩系&quot;],&quot;num&quot;:[&quot;6&quot;,&quot;3&quot;]}},&quot;thumb&quot;:&quot;./images/444746070325460997-7.png&quot;,&quot;title&quot;:&quot;基础饼图&quot;,&quot;type&quot;:&quot;chart&quot;},&quot;dschart_id&quot;:&quot;444746070325460997-7&quot;,&quot;flag&quot;:&quot;1003&quot;,&quot;id&quot;:&quot;99&quot;}"/>
    <wpswe:property key="isUseCommonErrorPage" value="false"/>
    <wpswe:property key="loadingImage" value="res:/icons/DsWebShapeDefaultPage.svg"/>
  </wpswe:properties>
  <wpswe:watchingCache>
    <wpswe:linkPath>C:/Users/Administrator/AppData/Local/Temp/wps.QIqyUS/Workbook2.xlsx</wpswe:linkPath>
  </wpswe:watchingCache>
  <wpswe:snapshot xmlns:r="http://schemas.openxmlformats.org/officeDocument/2006/relationships" r:embed="rId2"/>
  <wpswe:externalData xmlns:r="http://schemas.openxmlformats.org/officeDocument/2006/relationships" r:id="rId1"/>
  <wpswe:url>https://clientweb.docer.wps.cn/ds/1.0.0/webShapeView?id=99&amp;dschart_id=444746070325460997-7&amp;from=chartwins&amp;productEntry=insert&amp;sceneEntry=rec&amp;flag=1003</wpswe:url>
  <wpswe:constantSnapshot>false</wpswe:constantSnapshot>
</wpswe:webExtension>
</file>

<file path=word/webExtensions/webExtension2.xml><?xml version="1.0" encoding="utf-8"?>
<wpswe:webExtension xmlns:wpswe="http://www.wps.cn/officeDocument/2018/webExtension">
  <wpswe:extSource id="dschart" version="1.0"/>
  <wpswe:properties>
    <wpswe:property key="DiscardFirstCodeChange" value="0"/>
    <wpswe:property key="autoSnapshot" value="0"/>
    <wpswe:property key="dschart" value="{&quot;dschart_data&quot;:{&quot;blockId&quot;:&quot;164758982116793344&quot;,&quot;chart_type&quot;:&quot;饼图&quot;,&quot;classifty_type&quot;:[&quot;占比类&quot;],&quot;dataSrc&quot;:{&quot;data&quot;:[[[&quot;支出&quot;,&quot;占比（%）&quot;],[&quot;基本支出&quot;,&quot;17.57&quot;],[&quot;项目支出&quot;,&quot;82.43&quot;]]],&quot;dataType&quot;:&quot;obejct-table&quot;,&quot;download&quot;:false,&quot;srcType&quot;:&quot;local&quot;,&quot;url&quot;:&quot;&quot;},&quot;function_type&quot;:[&quot;饼图&quot;],&quot;gif&quot;:&quot;https://image.dycharts.com/444746070325460997.gif?imageView2/2/w/500/quality/90&quot;,&quot;isDocNotWatermark&quot;:true,&quot;isFree&quot;:&quot;0&quot;,&quot;label&quot;:&quot;&lt;e-piebasic-chart&gt;&quot;,&quot;position&quot;:{&quot;left&quot;:0,&quot;top&quot;:0},&quot;price&quot;:0,&quot;projectId&quot;:&quot;164759430046172228&quot;,&quot;props&quot;:{&quot;animation&quot;:{&quot;duration&quot;:&quot;1.5&quot;,&quot;easeStyle&quot;:&quot;&quot;,&quot;endPause&quot;:&quot;1&quot;,&quot;moveOptions&quot;:[&quot;轮子&quot;,&quot;百叶窗&quot;,&quot;折扇&quot;,&quot;径向展开&quot;],&quot;moveStyle&quot;:&quot;轮子&quot;,&quot;startDelay&quot;:&quot;0&quot;,&quot;transition&quot;:true},&quot;backgroundColor&quot;:&quot;#FFFFFF&quot;,&quot;colors&quot;:{&quot;colorControlers&quot;:[&quot;multiple&quot;,&quot;linear&quot;],&quot;list&quot;:[0,1],&quot;type&quot;:&quot;multiple&quot;},&quot;display&quot;:{&quot;borderColor&quot;:&quot;#FFFFFF&quot;,&quot;borderWidth&quot;:2.5,&quot;cornerRadius&quot;:0,&quot;fillOpacity&quot;:1,&quot;gapPercentage&quot;:0.8,&quot;innerRadiusRatio&quot;:0.046},&quot;label&quot;:{&quot;contentChoice&quot;:[&quot;百分比&quot;],&quot;contentOption&quot;:[&quot;名称&quot;,&quot;百分比&quot;,&quot;数值&quot;],&quot;display&quot;:true,&quot;positionChoice&quot;:&quot;内部周向&quot;,&quot;positionOptions&quot;:[&quot;内部周向&quot;,&quot;内部水平&quot;,&quot;外部&quot;],&quot;suffix&quot;:&quot;&quot;,&quot;textLabel&quot;:{&quot;color&quot;:&quot;#ffffffff&quot;,&quot;fontFamily&quot;:&quot;OPPOSans-M&quot;,&quot;fontSize&quot;:&quot;20&quot;}},&quot;legend&quot;:{&quot;color&quot;:[&quot;#545454&quot;],&quot;fontFamily&quot;:&quot;阿里巴巴普惠体常规&quot;,&quot;fontSize&quot;:&quot;14&quot;,&quot;lineHeight&quot;:&quot;15&quot;,&quot;show&quot;:true,&quot;style&quot;:&quot;&quot;,&quot;styleOptions&quot;:[],&quot;xPosition&quot;:&quot;center&quot;,&quot;yPosition&quot;:&quot;bottom&quot;},&quot;logoDisplay&quot;:{&quot;bottomLineHeight&quot;:&quot;15&quot;,&quot;imgHeight&quot;:&quot;32&quot;,&quot;imgUrl&quot;:&quot;https://ss1.dycharts.com/newchartLogo.png&quot;,&quot;show&quot;:false,&quot;topLineHeight&quot;:&quot;11&quot;},&quot;map&quot;:[[{&quot;allowType&quot;:[&quot;string&quot;],&quot;configurable&quot;:false,&quot;function&quot;:&quot;objCol&quot;,&quot;index&quot;:0,&quot;isLegend&quot;:true,&quot;name&quot;:&quot;名称&quot;},{&quot;allowType&quot;:[&quot;number&quot;],&quot;configurable&quot;:false,&quot;function&quot;:&quot;vCol&quot;,&quot;index&quot;:1,&quot;isLegend&quot;:false,&quot;name&quot;:&quot;值&quot;}]],&quot;numberFormat&quot;:{&quot;decimalPlaces&quot;:&quot;&quot;,&quot;style&quot;:&quot;1000.00&quot;},&quot;paddings&quot;:{&quot;bottom&quot;:&quot;23&quot;,&quot;chartBottom&quot;:&quot;5&quot;,&quot;left&quot;:&quot;24&quot;,&quot;right&quot;:&quot;24&quot;,&quot;top&quot;:&quot;20&quot;},&quot;publishDisplay&quot;:{&quot;color&quot;:&quot;#878787&quot;,&quot;fontFamily&quot;:&quot;阿里巴巴普惠体 常规&quot;,&quot;fontSize&quot;:&quot;14&quot;,&quot;show&quot;:false,&quot;text&quot;:&quot;镝数出品&quot;},&quot;shadow&quot;:{&quot;display&quot;:true,&quot;shadowAngle&quot;:&quot;45&quot;,&quot;shadowBlur&quot;:&quot;5&quot;,&quot;shadowColor&quot;:&quot;#a8a8a7cc&quot;,&quot;shadowOpacity&quot;:&quot;100&quot;,&quot;shadowRadius&quot;:&quot;3&quot;},&quot;size&quot;:{&quot;height&quot;:251.61290322580646,&quot;ratio&quot;:&quot;&quot;,&quot;rotate&quot;:0,&quot;width&quot;:400.6451612903226},&quot;sourceDisplay&quot;:{&quot;color&quot;:&quot;#878787&quot;,&quot;fontFamily&quot;:&quot;阿里巴巴普惠体 常规&quot;,&quot;fontSize&quot;:&quot;14&quot;,&quot;show&quot;:false,&quot;text&quot;:&quot;数据来源：示例数据&quot;,&quot;topLineHeight&quot;:&quot;15&quot;,&quot;xPosition&quot;:&quot;left&quot;,&quot;yPosition&quot;:&quot;bottom&quot;},&quot;titleDisplay&quot;:{&quot;color&quot;:&quot;#4c4c4c&quot;,&quot;fontFamily&quot;:&quot;阿里巴巴普惠体 常规&quot;,&quot;fontSize&quot;:&quot;30&quot;,&quot;lineHeight&quot;:&quot;10&quot;,&quot;show&quot;:false,&quot;text&quot;:&quot;中国网红受教育水平&quot;,&quot;totalHeight&quot;:&quot;39&quot;,&quot;xPosition&quot;:&quot;center&quot;,&quot;yPosition&quot;:&quot;top&quot;},&quot;tooltip&quot;:true,&quot;unitDisplay&quot;:{&quot;bottomLineHeight&quot;:&quot;15&quot;,&quot;color&quot;:&quot;#878787&quot;,&quot;fontFamily&quot;:&quot;阿里巴巴普惠体常规&quot;,&quot;fontSize&quot;:&quot;14&quot;,&quot;show&quot;:false,&quot;text&quot;:&quot;单位：%&quot;,&quot;xPosition&quot;:&quot;left&quot;,&quot;yPosition&quot;:&quot;top&quot;},&quot;watermarkDisplay&quot;:{&quot;imgHeight&quot;:&quot;80&quot;,&quot;imgUrl&quot;:&quot;https://ss1.dycharts.com/newchartWatermark.png&quot;,&quot;imgWidth&quot;:&quot;80&quot;,&quot;show&quot;:false}},&quot;templateId&quot;:&quot;444746070325460997-7&quot;,&quot;templateSwitch&quot;:&quot;key-value&quot;,&quot;theme&quot;:{&quot;_id&quot;:45,&quot;axis&quot;:{&quot;color&quot;:&quot;#a1a1a1&quot;},&quot;backgroundColor&quot;:&quot;#FFFFFF&quot;,&quot;card_color&quot;:&quot;#E6EFE9&quot;,&quot;colors&quot;:[&quot;#74BE8B&quot;,&quot;#A4D252&quot;,&quot;#C2CD57&quot;,&quot;#DACE36&quot;,&quot;#E0C252&quot;,&quot;#E19C51&quot;,&quot;#74BE8B&quot;,&quot;#A4D252&quot;,&quot;#C2CD57&quot;,&quot;#DACE36&quot;,&quot;#E0C252&quot;,&quot;#E19C51&quot;,&quot;#E0C252&quot;,&quot;#E19C51&quot;],&quot;fonts&quot;:{&quot;accessoryColor&quot;:&quot;#878787&quot;,&quot;color&quot;:&quot;#545454&quot;,&quot;fontFamily&quot;:&quot;阿里巴巴普惠体常规&quot;,&quot;fontSize&quot;:&quot;14&quot;},&quot;grid&quot;:{&quot;color&quot;:&quot;#ccc&quot;},&quot;name&quot;:&quot;简约绿2.0&quot;,&quot;price&quot;:0,&quot;shapeColor&quot;:1,&quot;themeId&quot;:45,&quot;thumb&quot;:&quot;https://ss1.dydata.io/v2/themes/45.png&quot;,&quot;titleFont&quot;:{&quot;color&quot;:&quot;#4c4c4c&quot;,&quot;fontFamily&quot;:&quot;阿里巴巴普惠体 常规&quot;,&quot;fontSize&quot;:&quot;36&quot;},&quot;typeColor&quot;:{&quot;name&quot;:[&quot;绿色&quot;],&quot;num&quot;:[&quot;1&quot;]},&quot;typeStyle&quot;:{&quot;name&quot;:[&quot;简约&quot;],&quot;num&quot;:[&quot;2&quot;]},&quot;typeSystem&quot;:{&quot;name&quot;:[&quot;浅色系&quot;,&quot;多彩系&quot;],&quot;num&quot;:[&quot;6&quot;,&quot;3&quot;]}},&quot;thumb&quot;:&quot;./images/444746070325460997-7.png&quot;,&quot;title&quot;:&quot;基础饼图&quot;,&quot;type&quot;:&quot;chart&quot;},&quot;dschart_id&quot;:&quot;444746070325460997-7&quot;,&quot;flag&quot;:&quot;1003&quot;,&quot;id&quot;:&quot;99&quot;}"/>
    <wpswe:property key="isUseCommonErrorPage" value="false"/>
    <wpswe:property key="loadingImage" value="res:/icons/DsWebShapeDefaultPage.svg"/>
  </wpswe:properties>
  <wpswe:watchingCache>
    <wpswe:linkPath>C:/Users/Administrator/AppData/Local/Temp/wps.okXwPv/Workbook1.xlsx</wpswe:linkPath>
  </wpswe:watchingCache>
  <wpswe:snapshot xmlns:r="http://schemas.openxmlformats.org/officeDocument/2006/relationships" r:embed="rId2"/>
  <wpswe:externalData xmlns:r="http://schemas.openxmlformats.org/officeDocument/2006/relationships" r:id="rId1"/>
  <wpswe:url>https://clientweb.docer.wps.cn/ds/1.0.0/webShapeView?id=99&amp;dschart_id=444746070325460997-7&amp;from=chartwins&amp;productEntry=insert&amp;sceneEntry=rec&amp;flag=1003</wpswe:url>
  <wpswe:constantSnapshot>false</wpswe:constantSnapshot>
</wpswe:webExtension>
</file>

<file path=docProps/app.xml><?xml version="1.0" encoding="utf-8"?>
<Properties xmlns="http://schemas.openxmlformats.org/officeDocument/2006/extended-properties" xmlns:vt="http://schemas.openxmlformats.org/officeDocument/2006/docPropsVTypes">
  <Template>Normal.dotm</Template>
  <Pages>30</Pages>
  <Words>12137</Words>
  <Characters>13306</Characters>
  <Lines>0</Lines>
  <Paragraphs>0</Paragraphs>
  <TotalTime>5</TotalTime>
  <ScaleCrop>false</ScaleCrop>
  <LinksUpToDate>false</LinksUpToDate>
  <CharactersWithSpaces>13392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2022-09-22T02:45:00Z</dcterms:created>
  <dc:creator>畅畅~</dc:creator>
  <cp:lastModifiedBy>隔壁老王</cp:lastModifiedBy>
  <dcterms:modified xsi:type="dcterms:W3CDTF">2024-01-05T07:54:51Z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FF04E3096A3E48CD97D40BE16FD43883_13</vt:lpwstr>
  </property>
</Properties>
</file>